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23DB" w14:textId="77777777" w:rsidR="001D6F4C" w:rsidRDefault="00CC0261" w:rsidP="001D6F4C">
      <w:pPr>
        <w:jc w:val="both"/>
        <w:rPr>
          <w:rFonts w:ascii="TimesNewRoman,Bold" w:hAnsi="TimesNewRoman,Bold" w:cs="TimesNewRoman,Bold"/>
          <w:b/>
          <w:bCs/>
          <w:sz w:val="26"/>
          <w:szCs w:val="26"/>
          <w:lang w:val="hr-BA"/>
        </w:rPr>
      </w:pPr>
      <w:r w:rsidRPr="00075B48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>UGOVOR</w:t>
      </w:r>
      <w:r w:rsidR="004D6C8C" w:rsidRPr="00075B48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>NE STRANE:</w:t>
      </w:r>
      <w:r w:rsidR="001D6F4C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 xml:space="preserve"> </w:t>
      </w:r>
    </w:p>
    <w:p w14:paraId="103F4A80" w14:textId="77777777" w:rsidR="001D6F4C" w:rsidRDefault="004D6C8C" w:rsidP="00E358F1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NEZAVISNI OPERATOR SISTEMA U BOSNI I HERCEGOVINI</w:t>
      </w:r>
      <w:r w:rsidR="001D6F4C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  </w:t>
      </w:r>
      <w:r w:rsidR="001D6F4C" w:rsidRPr="00E358F1">
        <w:rPr>
          <w:rFonts w:ascii="Times New Roman" w:eastAsia="Times New Roman" w:hAnsi="Times New Roman"/>
          <w:bCs/>
          <w:sz w:val="24"/>
          <w:szCs w:val="20"/>
          <w:lang w:val="hr-BA"/>
        </w:rPr>
        <w:t>Ul.</w:t>
      </w:r>
      <w:r w:rsidR="001D6F4C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 </w:t>
      </w:r>
      <w:r w:rsidR="007C74B3" w:rsidRPr="00E41711">
        <w:rPr>
          <w:rFonts w:ascii="Times New Roman" w:eastAsia="Times New Roman" w:hAnsi="Times New Roman"/>
          <w:sz w:val="24"/>
          <w:szCs w:val="20"/>
          <w:lang w:val="hr-BA"/>
        </w:rPr>
        <w:t>Hifzi Bjelevca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7C74B3" w:rsidRPr="00E41711">
        <w:rPr>
          <w:rFonts w:ascii="Times New Roman" w:eastAsia="Times New Roman" w:hAnsi="Times New Roman"/>
          <w:sz w:val="24"/>
          <w:szCs w:val="20"/>
          <w:lang w:val="hr-BA"/>
        </w:rPr>
        <w:t>17</w:t>
      </w:r>
      <w:r w:rsidRPr="00E41711">
        <w:rPr>
          <w:rFonts w:ascii="Times New Roman" w:eastAsia="Times New Roman" w:hAnsi="Times New Roman"/>
          <w:sz w:val="24"/>
          <w:szCs w:val="20"/>
          <w:lang w:val="hr-BA"/>
        </w:rPr>
        <w:t xml:space="preserve">, 71000 Sarajevo (u daljem tekstu </w:t>
      </w:r>
      <w:r w:rsidR="00F350EB" w:rsidRPr="00E41711">
        <w:rPr>
          <w:rFonts w:ascii="Times New Roman" w:eastAsia="Times New Roman" w:hAnsi="Times New Roman"/>
          <w:sz w:val="24"/>
          <w:szCs w:val="20"/>
          <w:lang w:val="hr-BA"/>
        </w:rPr>
        <w:t>NOSB</w:t>
      </w:r>
      <w:r w:rsidR="00F01678" w:rsidRPr="00E41711">
        <w:rPr>
          <w:rFonts w:ascii="Times New Roman" w:eastAsia="Times New Roman" w:hAnsi="Times New Roman"/>
          <w:sz w:val="24"/>
          <w:szCs w:val="20"/>
          <w:lang w:val="hr-BA"/>
        </w:rPr>
        <w:t>i</w:t>
      </w:r>
      <w:r w:rsidR="00F350EB" w:rsidRPr="00E41711">
        <w:rPr>
          <w:rFonts w:ascii="Times New Roman" w:eastAsia="Times New Roman" w:hAnsi="Times New Roman"/>
          <w:sz w:val="24"/>
          <w:szCs w:val="20"/>
          <w:lang w:val="hr-BA"/>
        </w:rPr>
        <w:t>H</w:t>
      </w:r>
      <w:r w:rsidRPr="00E41711">
        <w:rPr>
          <w:rFonts w:ascii="Times New Roman" w:eastAsia="Times New Roman" w:hAnsi="Times New Roman"/>
          <w:sz w:val="24"/>
          <w:szCs w:val="20"/>
          <w:lang w:val="hr-BA"/>
        </w:rPr>
        <w:t xml:space="preserve">), kojeg zastupa generalni direktor </w:t>
      </w:r>
      <w:r w:rsidR="00F07391">
        <w:rPr>
          <w:rFonts w:ascii="Times New Roman" w:eastAsia="Times New Roman" w:hAnsi="Times New Roman"/>
          <w:sz w:val="24"/>
          <w:szCs w:val="20"/>
          <w:lang w:val="hr-BA"/>
        </w:rPr>
        <w:t>dr Nemanja Pandurević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6719BDFB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Registracija: Ministarstvo pravde BiH, br. 08-50.3-7-3/05</w:t>
      </w:r>
    </w:p>
    <w:p w14:paraId="619A29D6" w14:textId="77777777" w:rsidR="001D6F4C" w:rsidRDefault="004D6C8C" w:rsidP="00E358F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Identifikacijski broj: 4200777780003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7243E6E8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PDV broj: 200777780003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31FE4F43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Porezni broj: 01703444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04339649" w14:textId="77777777" w:rsidR="001D6F4C" w:rsidRDefault="004D6C8C" w:rsidP="00E4171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1D6F4C">
        <w:rPr>
          <w:rFonts w:ascii="Times New Roman" w:eastAsia="Times New Roman" w:hAnsi="Times New Roman"/>
          <w:sz w:val="24"/>
          <w:szCs w:val="20"/>
          <w:lang w:val="hr-BA"/>
        </w:rPr>
        <w:t>Žiro račun: 1610000004670076- Raiffeisen Bank d.d.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BiH </w:t>
      </w:r>
    </w:p>
    <w:p w14:paraId="4A1912EF" w14:textId="77777777" w:rsidR="001D6F4C" w:rsidRPr="00E358F1" w:rsidRDefault="00974B58" w:rsidP="00E358F1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bCs/>
          <w:sz w:val="24"/>
          <w:szCs w:val="20"/>
          <w:lang w:val="hr-BA"/>
        </w:rPr>
      </w:pP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BOS </w:t>
      </w:r>
      <w:r w:rsidR="004D6C8C"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 </w:t>
      </w:r>
      <w:r w:rsidR="00E53632"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________ </w:t>
      </w: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 (</w:t>
      </w:r>
      <w:r w:rsidRPr="007F2821">
        <w:rPr>
          <w:rFonts w:ascii="Times New Roman" w:eastAsia="Times New Roman" w:hAnsi="Times New Roman"/>
          <w:bCs/>
          <w:sz w:val="24"/>
          <w:szCs w:val="20"/>
          <w:lang w:val="hr-BA"/>
        </w:rPr>
        <w:t>u daljem tekstu BOS</w:t>
      </w: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>)</w:t>
      </w:r>
    </w:p>
    <w:p w14:paraId="3EF83F4E" w14:textId="77777777" w:rsidR="004D6C8C" w:rsidRPr="00075B48" w:rsidRDefault="004D6C8C" w:rsidP="004D6C8C">
      <w:pPr>
        <w:widowControl w:val="0"/>
        <w:snapToGrid w:val="0"/>
        <w:spacing w:after="0" w:line="240" w:lineRule="auto"/>
        <w:ind w:left="1560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54A15D10" w14:textId="77777777" w:rsidR="001D6F4C" w:rsidRDefault="001D6F4C" w:rsidP="004D6C8C">
      <w:pPr>
        <w:rPr>
          <w:rFonts w:ascii="Times New Roman" w:eastAsia="Times New Roman" w:hAnsi="Times New Roman"/>
          <w:sz w:val="24"/>
          <w:szCs w:val="20"/>
          <w:lang w:val="hr-BA"/>
        </w:rPr>
      </w:pPr>
    </w:p>
    <w:p w14:paraId="4D7C24D3" w14:textId="77777777" w:rsidR="004D6C8C" w:rsidRPr="00075B48" w:rsidRDefault="004D6C8C" w:rsidP="004D6C8C">
      <w:pPr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Dana ____________godine, zaključili su slijedeći</w:t>
      </w:r>
    </w:p>
    <w:p w14:paraId="2E9D8FB7" w14:textId="77777777" w:rsidR="004D6C8C" w:rsidRPr="00075B48" w:rsidRDefault="004D6C8C" w:rsidP="004D6C8C">
      <w:pPr>
        <w:widowControl w:val="0"/>
        <w:snapToGrid w:val="0"/>
        <w:spacing w:after="0" w:line="240" w:lineRule="auto"/>
        <w:ind w:left="1560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D9F29E2" w14:textId="77777777" w:rsidR="00CC0261" w:rsidRPr="00075B48" w:rsidRDefault="00CC0261" w:rsidP="00CC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BA"/>
        </w:rPr>
      </w:pPr>
    </w:p>
    <w:p w14:paraId="0E16AB1B" w14:textId="77777777" w:rsidR="00B805D0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UGOVOR O BALANSNOJ ODGOVORNOSTI</w:t>
      </w:r>
    </w:p>
    <w:p w14:paraId="16AEE2C8" w14:textId="77777777" w:rsidR="004D6C8C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E3EE06E" w14:textId="77777777" w:rsidR="004D6C8C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D34CAA1" w14:textId="77777777" w:rsidR="00CC0261" w:rsidRPr="00075B48" w:rsidRDefault="00B805D0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bCs/>
          <w:sz w:val="24"/>
          <w:szCs w:val="24"/>
          <w:lang w:val="hr-BA"/>
        </w:rPr>
        <w:t>Član</w:t>
      </w:r>
      <w:r w:rsidR="00CC0261" w:rsidRPr="00075B48">
        <w:rPr>
          <w:rFonts w:ascii="Times New Roman" w:hAnsi="Times New Roman"/>
          <w:b/>
          <w:bCs/>
          <w:sz w:val="24"/>
          <w:szCs w:val="24"/>
          <w:lang w:val="hr-BA"/>
        </w:rPr>
        <w:t xml:space="preserve"> 1.</w:t>
      </w:r>
    </w:p>
    <w:p w14:paraId="4D4E6731" w14:textId="77777777" w:rsidR="004645C1" w:rsidRPr="00075B48" w:rsidRDefault="004645C1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53D9A16F" w14:textId="6B722370" w:rsidR="002742BC" w:rsidRPr="002742BC" w:rsidRDefault="00B805D0" w:rsidP="00274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>Ov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m 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govorom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uređuju se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međusobna prava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obaveze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,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između 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BOS-a 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NO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>S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H-a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 xml:space="preserve">u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 xml:space="preserve">vezi </w:t>
      </w:r>
      <w:r w:rsidR="00F350EB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 xml:space="preserve">sa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uspostavljanj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em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i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primjen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om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balansne odgovornosti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2742BC">
        <w:rPr>
          <w:rFonts w:ascii="Times New Roman" w:eastAsia="Times New Roman" w:hAnsi="Times New Roman"/>
          <w:sz w:val="24"/>
          <w:szCs w:val="24"/>
          <w:lang w:val="hr-BA"/>
        </w:rPr>
        <w:t xml:space="preserve"> kao 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 xml:space="preserve">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način</w:t>
      </w:r>
      <w:r w:rsidR="00C42660">
        <w:rPr>
          <w:rFonts w:ascii="Times New Roman" w:hAnsi="Times New Roman"/>
          <w:sz w:val="24"/>
          <w:szCs w:val="24"/>
          <w:lang w:val="bs-Latn-BA"/>
        </w:rPr>
        <w:t>om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 plaćanja između NOSB</w:t>
      </w:r>
      <w:r w:rsidR="00F01678">
        <w:rPr>
          <w:rFonts w:ascii="Times New Roman" w:hAnsi="Times New Roman"/>
          <w:sz w:val="24"/>
          <w:szCs w:val="24"/>
          <w:lang w:val="bs-Latn-BA"/>
        </w:rPr>
        <w:t>i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H-a i BOS-a za debalans balansne grupe, instrument obezbjeđenja plaćanja,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uslovi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za aktivaciju, period važenja, kao</w:t>
      </w:r>
      <w:r w:rsidR="002742B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i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uslovi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za promjenu visine instrumenta obezbjeđenja plaćanja</w:t>
      </w:r>
      <w:r w:rsidR="00C42660">
        <w:rPr>
          <w:rFonts w:ascii="Times New Roman" w:hAnsi="Times New Roman"/>
          <w:sz w:val="24"/>
          <w:szCs w:val="24"/>
          <w:lang w:val="bs-Latn-BA"/>
        </w:rPr>
        <w:t>. Sve navedeno je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Tržišnim 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>prav</w:t>
      </w:r>
      <w:r w:rsidR="003D38A5">
        <w:rPr>
          <w:rFonts w:ascii="Times New Roman" w:hAnsi="Times New Roman"/>
          <w:sz w:val="24"/>
          <w:szCs w:val="24"/>
          <w:lang w:val="bs-Latn-BA"/>
        </w:rPr>
        <w:t>ilima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 koje je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odobri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o 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DERK-a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 svojom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Odlukom </w:t>
      </w:r>
      <w:r w:rsidR="00E358F1">
        <w:rPr>
          <w:rFonts w:ascii="Times New Roman" w:hAnsi="Times New Roman"/>
          <w:sz w:val="24"/>
          <w:szCs w:val="24"/>
          <w:lang w:val="bs-Latn-BA"/>
        </w:rPr>
        <w:t>b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>r</w:t>
      </w:r>
      <w:r w:rsidR="00C04A10">
        <w:rPr>
          <w:rFonts w:ascii="Times New Roman" w:hAnsi="Times New Roman"/>
          <w:sz w:val="24"/>
          <w:szCs w:val="24"/>
          <w:lang w:val="bs-Latn-BA"/>
        </w:rPr>
        <w:t>.</w:t>
      </w:r>
      <w:r w:rsidR="008730F1" w:rsidRPr="00E41711">
        <w:rPr>
          <w:lang w:val="hr-BA"/>
        </w:rPr>
        <w:t xml:space="preserve"> </w:t>
      </w:r>
      <w:r w:rsidR="00464D11" w:rsidRPr="00464D11">
        <w:rPr>
          <w:rFonts w:ascii="Times New Roman" w:hAnsi="Times New Roman"/>
          <w:sz w:val="24"/>
          <w:szCs w:val="24"/>
          <w:lang w:val="bs-Latn-BA"/>
        </w:rPr>
        <w:t>04-28-9-361-7/2</w:t>
      </w:r>
      <w:r w:rsidR="00636E34">
        <w:rPr>
          <w:rFonts w:ascii="Times New Roman" w:hAnsi="Times New Roman"/>
          <w:sz w:val="24"/>
          <w:szCs w:val="24"/>
          <w:lang w:val="bs-Latn-BA"/>
        </w:rPr>
        <w:t>4</w:t>
      </w:r>
      <w:r w:rsidR="0051734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 xml:space="preserve">od </w:t>
      </w:r>
      <w:r w:rsidR="00464D11" w:rsidRPr="00464D11">
        <w:rPr>
          <w:rFonts w:ascii="Times New Roman" w:hAnsi="Times New Roman"/>
          <w:sz w:val="24"/>
          <w:szCs w:val="24"/>
          <w:lang w:val="bs-Latn-BA"/>
        </w:rPr>
        <w:t>11. juna 2025. godine</w:t>
      </w:r>
      <w:r w:rsidR="00AF2AF1">
        <w:rPr>
          <w:rFonts w:ascii="Times New Roman" w:hAnsi="Times New Roman"/>
          <w:sz w:val="24"/>
          <w:szCs w:val="24"/>
          <w:lang w:val="bs-Latn-BA"/>
        </w:rPr>
        <w:t>.</w:t>
      </w:r>
    </w:p>
    <w:p w14:paraId="5F1308F9" w14:textId="77777777" w:rsidR="002742BC" w:rsidRPr="00075B48" w:rsidRDefault="002742BC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784C16A4" w14:textId="77777777" w:rsidR="00B805D0" w:rsidRPr="00075B48" w:rsidRDefault="00B805D0" w:rsidP="00CC02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A0D77C8" w14:textId="77777777" w:rsidR="00CC0261" w:rsidRPr="00075B48" w:rsidRDefault="00B805D0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 xml:space="preserve">Član </w:t>
      </w:r>
      <w:r w:rsidR="00CC0261"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2.</w:t>
      </w:r>
    </w:p>
    <w:p w14:paraId="11B90435" w14:textId="77777777" w:rsidR="00CF5794" w:rsidRPr="00075B48" w:rsidRDefault="00CF5794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1E322D9" w14:textId="095C6978" w:rsidR="004645C1" w:rsidRPr="00075B48" w:rsidRDefault="00E53632" w:rsidP="00A9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 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је </w:t>
      </w:r>
      <w:r w:rsidR="00B805D0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obavezan da </w:t>
      </w:r>
      <w:r w:rsidR="005A0353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na tržištu električne energije u BiH preuzme 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>finansijsku i pravnu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A0353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odgovornost </w:t>
      </w:r>
      <w:r w:rsidR="00B805D0" w:rsidRPr="00075B48">
        <w:rPr>
          <w:rFonts w:ascii="Times New Roman" w:eastAsia="Times New Roman" w:hAnsi="Times New Roman"/>
          <w:sz w:val="24"/>
          <w:szCs w:val="24"/>
          <w:lang w:val="hr-BA"/>
        </w:rPr>
        <w:t>za balansnu grupu</w:t>
      </w:r>
      <w:r w:rsidR="00DA4037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(BG)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 xml:space="preserve"> koju predstavlja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 xml:space="preserve"> za svaki obračunski interval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>.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</w:p>
    <w:p w14:paraId="01BC9E27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3C0BDDF1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2E4E31A0" w14:textId="77777777" w:rsidR="00DA4037" w:rsidRPr="00075B48" w:rsidRDefault="00DA4037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Član 3.</w:t>
      </w:r>
    </w:p>
    <w:p w14:paraId="08D2997A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2568257" w14:textId="14CBD9E0" w:rsidR="00F52788" w:rsidRPr="00075B48" w:rsidRDefault="00590E80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T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>ačke primopredaje električne energije koje se koriste za obračun odstupanja BOS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-a,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 xml:space="preserve"> koji zastupa balansnu grupu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(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>BG</w:t>
      </w:r>
      <w:r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>definisane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 xml:space="preserve">su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u </w:t>
      </w:r>
      <w:r w:rsidR="003D38A5">
        <w:rPr>
          <w:rFonts w:ascii="Times New Roman" w:eastAsia="Times New Roman" w:hAnsi="Times New Roman"/>
          <w:sz w:val="24"/>
          <w:szCs w:val="24"/>
          <w:lang w:val="hr-BA"/>
        </w:rPr>
        <w:t xml:space="preserve"> Tržišnim pravilima</w:t>
      </w:r>
      <w:r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a navedene su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u </w:t>
      </w:r>
      <w:r w:rsidR="006808E7" w:rsidRPr="00CD0606">
        <w:rPr>
          <w:rFonts w:ascii="Times New Roman" w:eastAsia="Times New Roman" w:hAnsi="Times New Roman"/>
          <w:sz w:val="24"/>
          <w:szCs w:val="24"/>
          <w:lang w:val="hr-BA"/>
        </w:rPr>
        <w:t>A</w:t>
      </w:r>
      <w:r w:rsidR="00CD0606" w:rsidRPr="00CD0606">
        <w:rPr>
          <w:rFonts w:ascii="Times New Roman" w:eastAsia="Times New Roman" w:hAnsi="Times New Roman"/>
          <w:sz w:val="24"/>
          <w:szCs w:val="24"/>
          <w:lang w:val="hr-BA"/>
        </w:rPr>
        <w:t xml:space="preserve">nexu </w:t>
      </w:r>
      <w:r w:rsidR="006808E7" w:rsidRPr="00CD0606">
        <w:rPr>
          <w:rFonts w:ascii="Times New Roman" w:eastAsia="Times New Roman" w:hAnsi="Times New Roman"/>
          <w:sz w:val="28"/>
          <w:szCs w:val="28"/>
          <w:lang w:val="hr-BA"/>
        </w:rPr>
        <w:t xml:space="preserve">1 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ovog ugovora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te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čine njegov sastavni dio.</w:t>
      </w:r>
    </w:p>
    <w:p w14:paraId="1BD2ECBE" w14:textId="77777777" w:rsidR="00F52788" w:rsidRPr="00075B48" w:rsidRDefault="00F52788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lastRenderedPageBreak/>
        <w:t>Član 4.</w:t>
      </w:r>
    </w:p>
    <w:p w14:paraId="05D10427" w14:textId="77777777" w:rsidR="00F52788" w:rsidRPr="00075B48" w:rsidRDefault="00F52788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3E98F873" w14:textId="77777777" w:rsidR="00F52788" w:rsidRPr="00075B48" w:rsidRDefault="00F52788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D803B08" w14:textId="1E5BBD32" w:rsidR="00F719DF" w:rsidRDefault="00E53632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se obavezuje  da putem 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>obrasca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2F3DEF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obavijesti 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o sastavu balansne grupe koju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>predstavlja.</w:t>
      </w:r>
    </w:p>
    <w:p w14:paraId="0B6560ED" w14:textId="77777777" w:rsidR="00D076AC" w:rsidRDefault="00D076AC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4B440E5B" w14:textId="77777777" w:rsidR="007B26F5" w:rsidRDefault="007B26F5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dužan da putem obrasca 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="00BA3BAB">
        <w:rPr>
          <w:rFonts w:ascii="Times New Roman" w:eastAsia="Times New Roman" w:hAnsi="Times New Roman"/>
          <w:sz w:val="24"/>
          <w:szCs w:val="24"/>
          <w:lang w:val="hr-BA"/>
        </w:rPr>
        <w:t xml:space="preserve">redovno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ažurira listu učesnika na tržištu koji 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čine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njegov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balansn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grup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(BG).</w:t>
      </w:r>
    </w:p>
    <w:p w14:paraId="0CE7A3FC" w14:textId="77777777" w:rsidR="00D076AC" w:rsidRDefault="00D076AC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2D8AB5BE" w14:textId="77777777" w:rsidR="007B26F5" w:rsidRDefault="007B26F5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dužan da sa učesnicima na tržištu, koji se nalaze u sastavu balansne grupe koju BOS predstavlja, usaglasi </w:t>
      </w:r>
      <w:r w:rsidR="001F7517" w:rsidRPr="009B7B05">
        <w:rPr>
          <w:rFonts w:ascii="Times New Roman" w:eastAsia="Times New Roman" w:hAnsi="Times New Roman"/>
          <w:sz w:val="24"/>
          <w:szCs w:val="24"/>
          <w:lang w:val="hr-BA"/>
        </w:rPr>
        <w:t>ta</w:t>
      </w:r>
      <w:r w:rsidR="001F7517">
        <w:rPr>
          <w:rFonts w:ascii="Times New Roman" w:eastAsia="Times New Roman" w:hAnsi="Times New Roman"/>
          <w:sz w:val="24"/>
          <w:szCs w:val="24"/>
          <w:lang w:val="hr-BA"/>
        </w:rPr>
        <w:t xml:space="preserve">čke </w:t>
      </w:r>
      <w:r>
        <w:rPr>
          <w:rFonts w:ascii="Times New Roman" w:eastAsia="Times New Roman" w:hAnsi="Times New Roman"/>
          <w:sz w:val="24"/>
          <w:szCs w:val="24"/>
          <w:lang w:val="hr-BA"/>
        </w:rPr>
        <w:t>primopredaje električne energije i da ažuriranu listu tačaka primopredaje dostavi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7B1A53">
        <w:rPr>
          <w:rFonts w:ascii="Times New Roman" w:eastAsia="Times New Roman" w:hAnsi="Times New Roman"/>
          <w:sz w:val="24"/>
          <w:szCs w:val="24"/>
          <w:lang w:val="hr-BA"/>
        </w:rPr>
        <w:t>-u</w:t>
      </w:r>
      <w:r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3D6B0088" w14:textId="77777777" w:rsidR="00D076AC" w:rsidRDefault="00D076AC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4D003853" w14:textId="77777777" w:rsidR="00BA3BAB" w:rsidRPr="00075B48" w:rsidRDefault="00D076A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Promjena sastava balansne grupe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primjenjuje se od prvog dana mjeseca M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na osnovu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zahtjev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a </w:t>
      </w:r>
      <w:r w:rsidR="00CF453B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koji su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u formi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obrasc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>a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CF453B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dostavljen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>-u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do 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>desetog (</w:t>
      </w:r>
      <w:r>
        <w:rPr>
          <w:rFonts w:ascii="Times New Roman" w:eastAsia="Times New Roman" w:hAnsi="Times New Roman"/>
          <w:sz w:val="24"/>
          <w:szCs w:val="24"/>
          <w:lang w:val="hr-BA"/>
        </w:rPr>
        <w:t>10.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hr-BA"/>
        </w:rPr>
        <w:t>dana u mjesecu M-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1. Za zahtjeve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koji su </w:t>
      </w:r>
      <w:r>
        <w:rPr>
          <w:rFonts w:ascii="Times New Roman" w:eastAsia="Times New Roman" w:hAnsi="Times New Roman"/>
          <w:sz w:val="24"/>
          <w:szCs w:val="24"/>
          <w:lang w:val="hr-BA"/>
        </w:rPr>
        <w:t>podneseni nakon 10. u mjesecu M-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1, početak primjene prolongira </w:t>
      </w:r>
      <w:r w:rsidR="00FE7171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se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do prvog dana u mjesecu M+1.</w:t>
      </w:r>
    </w:p>
    <w:p w14:paraId="1C7D969B" w14:textId="77777777" w:rsidR="006A7BBD" w:rsidRPr="00075B48" w:rsidRDefault="006A7BBD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907729B" w14:textId="4075E68E" w:rsidR="006A7BBD" w:rsidRPr="00075B48" w:rsidRDefault="00FE7171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Z</w:t>
      </w:r>
      <w:r w:rsidR="00D076AC">
        <w:rPr>
          <w:rFonts w:ascii="Times New Roman" w:eastAsia="Times New Roman" w:hAnsi="Times New Roman"/>
          <w:sz w:val="24"/>
          <w:szCs w:val="24"/>
          <w:lang w:val="hr-BA"/>
        </w:rPr>
        <w:t>a debalans balansne grupe koju predstavlja</w:t>
      </w:r>
      <w:r w:rsidRPr="00FE717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finansijski odgovaran NOSBiH-u </w:t>
      </w:r>
      <w:r w:rsidR="006E2FB0">
        <w:rPr>
          <w:rFonts w:ascii="Times New Roman" w:eastAsia="Times New Roman" w:hAnsi="Times New Roman"/>
          <w:sz w:val="24"/>
          <w:szCs w:val="24"/>
          <w:lang w:val="hr-BA"/>
        </w:rPr>
        <w:t xml:space="preserve">i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obavezan</w:t>
      </w:r>
      <w:r w:rsidR="00D578AA">
        <w:rPr>
          <w:rFonts w:ascii="Times New Roman" w:eastAsia="Times New Roman" w:hAnsi="Times New Roman"/>
          <w:sz w:val="24"/>
          <w:szCs w:val="24"/>
          <w:lang w:val="hr-BA"/>
        </w:rPr>
        <w:t xml:space="preserve"> je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da reguliše međusobne odnose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vezane za poravnanje debalansa sa učesnicima na tržištu koji su članovi BG koju  zastupa.</w:t>
      </w:r>
      <w:r w:rsid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H </w:t>
      </w:r>
      <w:r>
        <w:rPr>
          <w:rFonts w:ascii="Times New Roman" w:eastAsia="Times New Roman" w:hAnsi="Times New Roman"/>
          <w:sz w:val="24"/>
          <w:szCs w:val="24"/>
          <w:lang w:val="hr-BA"/>
        </w:rPr>
        <w:t>nije nadležan</w:t>
      </w:r>
      <w:r w:rsidR="00F67F1A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za eventualne sporove između </w:t>
      </w:r>
      <w:r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česnika na tržištu i </w:t>
      </w:r>
      <w:r>
        <w:rPr>
          <w:rFonts w:ascii="Times New Roman" w:eastAsia="Times New Roman" w:hAnsi="Times New Roman"/>
          <w:sz w:val="24"/>
          <w:szCs w:val="24"/>
          <w:lang w:val="hr-BA"/>
        </w:rPr>
        <w:t>njihovih balansno odgovornih strana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DC463EC" w14:textId="77777777" w:rsidR="00F719DF" w:rsidRDefault="00F719DF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23A36BF" w14:textId="061AA2B1" w:rsidR="00570EAE" w:rsidRPr="00075B48" w:rsidRDefault="00D076A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Debalans balansne grupe koju BOS predstavlja računa se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u skladu sa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meto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dologijom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koja je izložena </w:t>
      </w:r>
      <w:r>
        <w:rPr>
          <w:rFonts w:ascii="Times New Roman" w:eastAsia="Times New Roman" w:hAnsi="Times New Roman"/>
          <w:sz w:val="24"/>
          <w:szCs w:val="24"/>
          <w:lang w:val="hr-BA"/>
        </w:rPr>
        <w:t>u Tržišnim pravilima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pri čemu se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uzimaju u obzir sve tačke primopredaje BOS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-a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navedene u Anexu 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>1</w:t>
      </w:r>
      <w:r w:rsidR="00430529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ovog </w:t>
      </w:r>
      <w:r w:rsidR="006E2FB0"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govora.</w:t>
      </w:r>
    </w:p>
    <w:p w14:paraId="0E52E0FB" w14:textId="77777777" w:rsidR="009B5395" w:rsidRDefault="009B5395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1C8DBB61" w14:textId="77777777" w:rsidR="00F719DF" w:rsidRPr="00075B48" w:rsidRDefault="00F719DF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bCs/>
          <w:sz w:val="24"/>
          <w:szCs w:val="24"/>
          <w:lang w:val="hr-BA"/>
        </w:rPr>
        <w:t>Član 5.</w:t>
      </w:r>
    </w:p>
    <w:p w14:paraId="045A3994" w14:textId="77777777" w:rsidR="004D38B1" w:rsidRPr="00075B48" w:rsidRDefault="004D38B1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145FA53B" w14:textId="46E01041" w:rsidR="009E32DF" w:rsidRDefault="009E32DF" w:rsidP="00E53632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9E32DF">
        <w:rPr>
          <w:rFonts w:ascii="Times New Roman" w:hAnsi="Times New Roman"/>
          <w:sz w:val="24"/>
          <w:szCs w:val="24"/>
          <w:lang w:val="hr-BA"/>
        </w:rPr>
        <w:t>BOS je obavezan dostavljati dnevne rasporede u skladu sa važećim Mrežnim kodeksom, Tržišnim pravilima i Uputstv</w:t>
      </w:r>
      <w:r w:rsidR="00175C1F">
        <w:rPr>
          <w:rFonts w:ascii="Times New Roman" w:hAnsi="Times New Roman"/>
          <w:sz w:val="24"/>
          <w:szCs w:val="24"/>
          <w:lang w:val="hr-BA"/>
        </w:rPr>
        <w:t>om</w:t>
      </w:r>
      <w:r w:rsidRPr="009E32DF">
        <w:rPr>
          <w:rFonts w:ascii="Times New Roman" w:hAnsi="Times New Roman"/>
          <w:sz w:val="24"/>
          <w:szCs w:val="24"/>
          <w:lang w:val="hr-BA"/>
        </w:rPr>
        <w:t xml:space="preserve"> za dostavljanje dnevnih rasporeda.</w:t>
      </w:r>
      <w:r w:rsidR="00FB540C" w:rsidRPr="00FB540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4528055" w14:textId="4FE98E42" w:rsidR="00FB540C" w:rsidRDefault="00E53632" w:rsidP="00E53632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 xml:space="preserve">BOS </w:t>
      </w:r>
      <w:r w:rsidR="00A07B48">
        <w:rPr>
          <w:rFonts w:ascii="Times New Roman" w:hAnsi="Times New Roman"/>
          <w:sz w:val="24"/>
          <w:szCs w:val="24"/>
          <w:lang w:val="hr-BA"/>
        </w:rPr>
        <w:t>j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e obavez</w:t>
      </w:r>
      <w:r w:rsidR="00A07B48">
        <w:rPr>
          <w:rFonts w:ascii="Times New Roman" w:hAnsi="Times New Roman"/>
          <w:sz w:val="24"/>
          <w:szCs w:val="24"/>
          <w:lang w:val="hr-BA"/>
        </w:rPr>
        <w:t xml:space="preserve">an dostavljati dnevne rasporede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="00A07B48">
        <w:rPr>
          <w:rFonts w:ascii="Times New Roman" w:hAnsi="Times New Roman"/>
          <w:sz w:val="24"/>
          <w:szCs w:val="24"/>
          <w:lang w:val="hr-BA"/>
        </w:rPr>
        <w:t xml:space="preserve">-u 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>za učesnike na tržištu unutar svoje balansne grupe</w:t>
      </w:r>
      <w:r w:rsidR="00F719DF" w:rsidRPr="00FB540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>koji su odabrali opciju dostave dnevnih rasporeda preko svo</w:t>
      </w:r>
      <w:r w:rsidR="00175C1F">
        <w:rPr>
          <w:rFonts w:ascii="Times New Roman" w:hAnsi="Times New Roman"/>
          <w:sz w:val="24"/>
          <w:szCs w:val="24"/>
          <w:lang w:val="hr-BA"/>
        </w:rPr>
        <w:t>g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 xml:space="preserve"> BOS</w:t>
      </w:r>
      <w:r w:rsidR="00175C1F">
        <w:rPr>
          <w:rFonts w:ascii="Times New Roman" w:hAnsi="Times New Roman"/>
          <w:sz w:val="24"/>
          <w:szCs w:val="24"/>
          <w:lang w:val="hr-BA"/>
        </w:rPr>
        <w:t>-a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.</w:t>
      </w:r>
    </w:p>
    <w:p w14:paraId="5C1203AF" w14:textId="77777777" w:rsidR="00F719DF" w:rsidRPr="00075B48" w:rsidRDefault="00F719DF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Član 6.</w:t>
      </w:r>
    </w:p>
    <w:p w14:paraId="3A24435D" w14:textId="77777777" w:rsidR="00FD7023" w:rsidRPr="00075B48" w:rsidRDefault="00FD7023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392B1E" w14:textId="36D01FA2" w:rsidR="00175C1F" w:rsidRDefault="00FD702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>Obavez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 xml:space="preserve">a  </w:t>
      </w:r>
      <w:r w:rsidR="00E53632" w:rsidRPr="00075B48">
        <w:rPr>
          <w:rFonts w:ascii="Times New Roman" w:hAnsi="Times New Roman"/>
          <w:sz w:val="24"/>
          <w:szCs w:val="24"/>
          <w:lang w:val="hr-BA"/>
        </w:rPr>
        <w:t>BOS</w:t>
      </w:r>
      <w:r w:rsidR="00175C1F">
        <w:rPr>
          <w:rFonts w:ascii="Times New Roman" w:hAnsi="Times New Roman"/>
          <w:sz w:val="24"/>
          <w:szCs w:val="24"/>
          <w:lang w:val="hr-BA"/>
        </w:rPr>
        <w:t>-a</w:t>
      </w:r>
      <w:r w:rsidR="00E53632" w:rsidRPr="00075B4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 xml:space="preserve">je da </w:t>
      </w:r>
      <w:r w:rsidR="00075B48" w:rsidRPr="00075B48">
        <w:rPr>
          <w:rFonts w:ascii="Times New Roman" w:hAnsi="Times New Roman"/>
          <w:sz w:val="24"/>
          <w:szCs w:val="24"/>
          <w:lang w:val="hr-BA"/>
        </w:rPr>
        <w:t>dostavi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instrument 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obez</w:t>
      </w:r>
      <w:r w:rsidR="00075B48">
        <w:rPr>
          <w:rFonts w:ascii="Times New Roman" w:hAnsi="Times New Roman"/>
          <w:sz w:val="24"/>
          <w:szCs w:val="24"/>
          <w:lang w:val="hr-BA"/>
        </w:rPr>
        <w:t>b</w:t>
      </w:r>
      <w:r w:rsidRPr="00075B48">
        <w:rPr>
          <w:rFonts w:ascii="Times New Roman" w:hAnsi="Times New Roman"/>
          <w:sz w:val="24"/>
          <w:szCs w:val="24"/>
          <w:lang w:val="hr-BA"/>
        </w:rPr>
        <w:t>jeđenja plaćanja</w:t>
      </w:r>
      <w:r w:rsidR="00F67F1A">
        <w:rPr>
          <w:rFonts w:ascii="Times New Roman" w:hAnsi="Times New Roman"/>
          <w:sz w:val="24"/>
          <w:szCs w:val="24"/>
          <w:lang w:val="hr-BA"/>
        </w:rPr>
        <w:t xml:space="preserve">, prije stupanja na snagu ovog </w:t>
      </w:r>
      <w:r w:rsidR="00196713">
        <w:rPr>
          <w:rFonts w:ascii="Times New Roman" w:hAnsi="Times New Roman"/>
          <w:sz w:val="24"/>
          <w:szCs w:val="24"/>
          <w:lang w:val="hr-BA"/>
        </w:rPr>
        <w:t>U</w:t>
      </w:r>
      <w:r w:rsidR="00F67F1A">
        <w:rPr>
          <w:rFonts w:ascii="Times New Roman" w:hAnsi="Times New Roman"/>
          <w:sz w:val="24"/>
          <w:szCs w:val="24"/>
          <w:lang w:val="hr-BA"/>
        </w:rPr>
        <w:t>govora</w:t>
      </w:r>
      <w:r w:rsidR="002742BC">
        <w:rPr>
          <w:rFonts w:ascii="Times New Roman" w:hAnsi="Times New Roman"/>
          <w:sz w:val="24"/>
          <w:szCs w:val="24"/>
          <w:lang w:val="hr-BA"/>
        </w:rPr>
        <w:t>.</w:t>
      </w:r>
    </w:p>
    <w:p w14:paraId="5837D9B1" w14:textId="77777777" w:rsidR="002B4337" w:rsidRDefault="00A772FE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71A73330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Instru</w:t>
      </w:r>
      <w:r>
        <w:rPr>
          <w:rFonts w:ascii="Times New Roman" w:hAnsi="Times New Roman"/>
          <w:sz w:val="24"/>
          <w:szCs w:val="24"/>
          <w:lang w:val="hr-BA"/>
        </w:rPr>
        <w:t xml:space="preserve">menti </w:t>
      </w:r>
      <w:r w:rsidR="00817157">
        <w:rPr>
          <w:rFonts w:ascii="Times New Roman" w:hAnsi="Times New Roman"/>
          <w:sz w:val="24"/>
          <w:szCs w:val="24"/>
          <w:lang w:val="hr-BA"/>
        </w:rPr>
        <w:t>obezbjeđenja plaćanja BOS-a mogu</w:t>
      </w:r>
      <w:r>
        <w:rPr>
          <w:rFonts w:ascii="Times New Roman" w:hAnsi="Times New Roman"/>
          <w:sz w:val="24"/>
          <w:szCs w:val="24"/>
          <w:lang w:val="hr-BA"/>
        </w:rPr>
        <w:t xml:space="preserve"> biti:</w:t>
      </w:r>
    </w:p>
    <w:p w14:paraId="3663BB1D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1.</w:t>
      </w:r>
      <w:r w:rsidRPr="002B4337">
        <w:rPr>
          <w:rFonts w:ascii="Times New Roman" w:hAnsi="Times New Roman"/>
          <w:sz w:val="24"/>
          <w:szCs w:val="24"/>
          <w:lang w:val="hr-BA"/>
        </w:rPr>
        <w:tab/>
        <w:t>bankarska  garancija izdata u korist NOSBiH</w:t>
      </w:r>
      <w:r w:rsidR="00175C1F">
        <w:rPr>
          <w:rFonts w:ascii="Times New Roman" w:hAnsi="Times New Roman"/>
          <w:sz w:val="24"/>
          <w:szCs w:val="24"/>
          <w:lang w:val="hr-BA"/>
        </w:rPr>
        <w:t>-</w:t>
      </w:r>
      <w:r w:rsidRPr="002B4337">
        <w:rPr>
          <w:rFonts w:ascii="Times New Roman" w:hAnsi="Times New Roman"/>
          <w:sz w:val="24"/>
          <w:szCs w:val="24"/>
          <w:lang w:val="hr-BA"/>
        </w:rPr>
        <w:t xml:space="preserve">a </w:t>
      </w:r>
    </w:p>
    <w:p w14:paraId="2B0E18FC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2.</w:t>
      </w:r>
      <w:r w:rsidRPr="002B4337">
        <w:rPr>
          <w:rFonts w:ascii="Times New Roman" w:hAnsi="Times New Roman"/>
          <w:sz w:val="24"/>
          <w:szCs w:val="24"/>
          <w:lang w:val="hr-BA"/>
        </w:rPr>
        <w:tab/>
        <w:t>namjenski  (garantni ) depozit.</w:t>
      </w:r>
    </w:p>
    <w:p w14:paraId="56E14008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A624D7F" w14:textId="77777777" w:rsidR="002742BC" w:rsidRDefault="00FE20E0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Forma bankarske garancije </w:t>
      </w:r>
      <w:r w:rsidR="006E6B38">
        <w:rPr>
          <w:rFonts w:ascii="Times New Roman" w:hAnsi="Times New Roman"/>
          <w:sz w:val="24"/>
          <w:szCs w:val="24"/>
          <w:lang w:val="hr-BA"/>
        </w:rPr>
        <w:t xml:space="preserve">je sastavni dio ovog </w:t>
      </w:r>
      <w:r w:rsidR="00175C1F">
        <w:rPr>
          <w:rFonts w:ascii="Times New Roman" w:hAnsi="Times New Roman"/>
          <w:sz w:val="24"/>
          <w:szCs w:val="24"/>
          <w:lang w:val="hr-BA"/>
        </w:rPr>
        <w:t>u</w:t>
      </w:r>
      <w:r w:rsidR="006E6B38">
        <w:rPr>
          <w:rFonts w:ascii="Times New Roman" w:hAnsi="Times New Roman"/>
          <w:sz w:val="24"/>
          <w:szCs w:val="24"/>
          <w:lang w:val="hr-BA"/>
        </w:rPr>
        <w:t>govora.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Depozit se uplaćuje</w:t>
      </w:r>
      <w:r w:rsidR="00DF0D3B">
        <w:rPr>
          <w:rFonts w:ascii="Times New Roman" w:hAnsi="Times New Roman"/>
          <w:sz w:val="24"/>
          <w:szCs w:val="24"/>
          <w:lang w:val="hr-BA"/>
        </w:rPr>
        <w:t xml:space="preserve"> na žiro račun NOSBiH-a br. 1610000004670755 otvore</w:t>
      </w:r>
      <w:r w:rsidR="00256E28">
        <w:rPr>
          <w:rFonts w:ascii="Times New Roman" w:hAnsi="Times New Roman"/>
          <w:sz w:val="24"/>
          <w:szCs w:val="24"/>
          <w:lang w:val="hr-BA"/>
        </w:rPr>
        <w:t>n</w:t>
      </w:r>
      <w:r w:rsidR="00DF0D3B">
        <w:rPr>
          <w:rFonts w:ascii="Times New Roman" w:hAnsi="Times New Roman"/>
          <w:sz w:val="24"/>
          <w:szCs w:val="24"/>
          <w:lang w:val="hr-BA"/>
        </w:rPr>
        <w:t xml:space="preserve"> kod Raiffeisen bank dd BiH</w:t>
      </w:r>
      <w:r w:rsidR="0051734E">
        <w:rPr>
          <w:rFonts w:ascii="Times New Roman" w:hAnsi="Times New Roman"/>
          <w:sz w:val="24"/>
          <w:szCs w:val="24"/>
          <w:lang w:val="hr-BA"/>
        </w:rPr>
        <w:t>.</w:t>
      </w:r>
    </w:p>
    <w:p w14:paraId="4843CBC4" w14:textId="77777777" w:rsidR="002B4337" w:rsidRDefault="002B4337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BECF4BE" w14:textId="77777777" w:rsidR="002742BC" w:rsidRP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Visina bankarske garancije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 i  depozita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 određuje se na period od jedne kalendarske godine </w:t>
      </w:r>
      <w:r w:rsidR="00EC7BCC">
        <w:rPr>
          <w:rFonts w:ascii="Times New Roman" w:hAnsi="Times New Roman"/>
          <w:sz w:val="24"/>
          <w:szCs w:val="24"/>
          <w:lang w:val="hr-BA"/>
        </w:rPr>
        <w:t xml:space="preserve">kao </w:t>
      </w:r>
      <w:r w:rsidR="00175C1F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veća od </w:t>
      </w:r>
      <w:r w:rsidR="00175C1F">
        <w:rPr>
          <w:rFonts w:ascii="Times New Roman" w:hAnsi="Times New Roman"/>
          <w:sz w:val="24"/>
          <w:szCs w:val="24"/>
          <w:lang w:val="hr-BA"/>
        </w:rPr>
        <w:t xml:space="preserve">sljedeće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dvije vrijednosti: </w:t>
      </w:r>
    </w:p>
    <w:p w14:paraId="7C76155B" w14:textId="77777777" w:rsidR="002742BC" w:rsidRPr="002742BC" w:rsidRDefault="002742BC" w:rsidP="00175C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 xml:space="preserve">finansijske vrijednosti planirane prosječne trodnevne proizvodnje električne energije BOS-a, koja se računa po prosječnoj cijeni debalansa za manjak električne energije u godini koja prethodi godini za koju se izdaje bankovna garancija, </w:t>
      </w:r>
    </w:p>
    <w:p w14:paraId="591E3978" w14:textId="77777777" w:rsidR="002742BC" w:rsidRPr="002742BC" w:rsidRDefault="002742BC" w:rsidP="00175C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finansijske vrijednosti planirane prosječne trodnevne potrošnje električne energije BOS</w:t>
      </w:r>
      <w:r w:rsidR="00141C48">
        <w:rPr>
          <w:rFonts w:ascii="Times New Roman" w:hAnsi="Times New Roman"/>
          <w:sz w:val="24"/>
          <w:szCs w:val="24"/>
          <w:lang w:val="hr-BA"/>
        </w:rPr>
        <w:noBreakHyphen/>
      </w:r>
      <w:r w:rsidRPr="002742BC">
        <w:rPr>
          <w:rFonts w:ascii="Times New Roman" w:hAnsi="Times New Roman"/>
          <w:sz w:val="24"/>
          <w:szCs w:val="24"/>
          <w:lang w:val="hr-BA"/>
        </w:rPr>
        <w:t>a, koja se računa po prosječnoj cijeni debalansa za manjak električne energije u godini koja prethodi godini za koju se izdaje bankovna garancija</w:t>
      </w:r>
      <w:r w:rsidR="00175C1F">
        <w:rPr>
          <w:rFonts w:ascii="Times New Roman" w:hAnsi="Times New Roman"/>
          <w:sz w:val="24"/>
          <w:szCs w:val="24"/>
          <w:lang w:val="hr-BA"/>
        </w:rPr>
        <w:t>.</w:t>
      </w:r>
    </w:p>
    <w:p w14:paraId="778FA2B5" w14:textId="77777777" w:rsidR="002742BC" w:rsidRPr="002742BC" w:rsidRDefault="002742BC" w:rsidP="00274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C61EC18" w14:textId="77777777" w:rsidR="002742BC" w:rsidRDefault="00175C1F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ri </w:t>
      </w:r>
      <w:r>
        <w:rPr>
          <w:rFonts w:ascii="Times New Roman" w:hAnsi="Times New Roman"/>
          <w:sz w:val="24"/>
          <w:szCs w:val="24"/>
          <w:lang w:val="hr-BA"/>
        </w:rPr>
        <w:t>tome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13AF3" w:rsidRPr="00713AF3">
        <w:rPr>
          <w:rFonts w:ascii="Times New Roman" w:hAnsi="Times New Roman"/>
          <w:sz w:val="24"/>
          <w:szCs w:val="24"/>
          <w:lang w:val="hr-BA"/>
        </w:rPr>
        <w:t>iznos bankovne garancije, odnosno depozita  ne može biti veći od 2.000.000 KM.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3AB35C1" w14:textId="77777777" w:rsidR="002742BC" w:rsidRP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A39E935" w14:textId="4B0E5637" w:rsid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U slučaju da unutar balansne grupe nije planirana proizvodnja niti snabdijevanje krajnjih potrošača električnom energijom, BOS</w:t>
      </w:r>
      <w:r w:rsidR="003A2424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nije dužan </w:t>
      </w:r>
      <w:r w:rsidR="00713AF3" w:rsidRPr="00713AF3">
        <w:rPr>
          <w:rFonts w:ascii="Times New Roman" w:hAnsi="Times New Roman"/>
          <w:sz w:val="24"/>
          <w:szCs w:val="24"/>
          <w:lang w:val="hr-BA"/>
        </w:rPr>
        <w:t>dostaviti instrument obezbjeđenja plaćanja</w:t>
      </w:r>
      <w:r w:rsidR="008435F6">
        <w:rPr>
          <w:rFonts w:ascii="Times New Roman" w:hAnsi="Times New Roman"/>
          <w:sz w:val="24"/>
          <w:szCs w:val="24"/>
          <w:lang w:val="hr-BA"/>
        </w:rPr>
        <w:t>,</w:t>
      </w:r>
      <w:r w:rsidR="00F350EB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8435F6">
        <w:rPr>
          <w:rFonts w:ascii="Times New Roman" w:hAnsi="Times New Roman"/>
          <w:sz w:val="24"/>
          <w:szCs w:val="24"/>
          <w:lang w:val="hr-BA"/>
        </w:rPr>
        <w:t xml:space="preserve">ali je dužan potpisati </w:t>
      </w:r>
      <w:r w:rsidR="00175C1F">
        <w:rPr>
          <w:rFonts w:ascii="Times New Roman" w:hAnsi="Times New Roman"/>
          <w:sz w:val="24"/>
          <w:szCs w:val="24"/>
          <w:lang w:val="hr-BA"/>
        </w:rPr>
        <w:t>u</w:t>
      </w:r>
      <w:r w:rsidR="008435F6">
        <w:rPr>
          <w:rFonts w:ascii="Times New Roman" w:hAnsi="Times New Roman"/>
          <w:sz w:val="24"/>
          <w:szCs w:val="24"/>
          <w:lang w:val="hr-BA"/>
        </w:rPr>
        <w:t>govor o balansnoj odgovornosti.</w:t>
      </w:r>
    </w:p>
    <w:p w14:paraId="7337DAD6" w14:textId="77777777" w:rsidR="00832B85" w:rsidRDefault="00832B85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4E2A99A" w14:textId="4DE42604" w:rsidR="00832B85" w:rsidRPr="000F16C8" w:rsidRDefault="00832B85" w:rsidP="0083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NOSBiH zadržava pravo da u svakom trenutku važenja ovoga ugovora izmijeni vrstu i visinu </w:t>
      </w:r>
      <w:r w:rsidR="00486FE9">
        <w:rPr>
          <w:rFonts w:ascii="Times New Roman" w:hAnsi="Times New Roman"/>
          <w:sz w:val="24"/>
          <w:szCs w:val="24"/>
          <w:lang w:val="hr-BA"/>
        </w:rPr>
        <w:t xml:space="preserve">instrumenta </w:t>
      </w:r>
      <w:r>
        <w:rPr>
          <w:rFonts w:ascii="Times New Roman" w:hAnsi="Times New Roman"/>
          <w:sz w:val="24"/>
          <w:szCs w:val="24"/>
          <w:lang w:val="hr-BA"/>
        </w:rPr>
        <w:t>obezbjeđenja plaćanja.</w:t>
      </w:r>
    </w:p>
    <w:p w14:paraId="2AB463A8" w14:textId="77777777" w:rsidR="00DC1468" w:rsidRDefault="00DC1468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655FEFDB" w14:textId="77777777" w:rsidR="006808E7" w:rsidRDefault="006808E7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2C819DDE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Član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7.</w:t>
      </w:r>
    </w:p>
    <w:p w14:paraId="03922A6A" w14:textId="77777777" w:rsidR="00FD494C" w:rsidRP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971D30A" w14:textId="000E55F9" w:rsidR="00FD494C" w:rsidRP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Prije potpisivanja </w:t>
      </w:r>
      <w:r w:rsidR="004F2A77">
        <w:rPr>
          <w:rFonts w:ascii="Times New Roman" w:hAnsi="Times New Roman"/>
          <w:sz w:val="24"/>
          <w:szCs w:val="24"/>
          <w:lang w:val="hr-BA"/>
        </w:rPr>
        <w:t>u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govora o balansnoj odgovornosti, BOS je dužan </w:t>
      </w:r>
      <w:r w:rsidR="004F2A77">
        <w:rPr>
          <w:rFonts w:ascii="Times New Roman" w:hAnsi="Times New Roman"/>
          <w:sz w:val="24"/>
          <w:szCs w:val="24"/>
          <w:lang w:val="hr-BA"/>
        </w:rPr>
        <w:t>NOSBiH</w:t>
      </w:r>
      <w:r w:rsidR="004F2A77" w:rsidRPr="00FD494C">
        <w:rPr>
          <w:rFonts w:ascii="Times New Roman" w:hAnsi="Times New Roman"/>
          <w:sz w:val="24"/>
          <w:szCs w:val="24"/>
          <w:lang w:val="hr-BA"/>
        </w:rPr>
        <w:t xml:space="preserve">-u </w:t>
      </w:r>
      <w:r w:rsidRPr="00FD494C">
        <w:rPr>
          <w:rFonts w:ascii="Times New Roman" w:hAnsi="Times New Roman"/>
          <w:sz w:val="24"/>
          <w:szCs w:val="24"/>
          <w:lang w:val="hr-BA"/>
        </w:rPr>
        <w:t>dostaviti planirane vrijednosti proizvodnje i potrošnje električne energije unutar balansne grupe koju taj BOS predstavlja. Ove vrijednosti će se, kao maksimalno moguća vrijednost debalansa BOS-a, koristiti pri izračunavanj</w:t>
      </w:r>
      <w:r w:rsidR="004F2A77">
        <w:rPr>
          <w:rFonts w:ascii="Times New Roman" w:hAnsi="Times New Roman"/>
          <w:sz w:val="24"/>
          <w:szCs w:val="24"/>
          <w:lang w:val="hr-BA"/>
        </w:rPr>
        <w:t>u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visine bankovnih garancija</w:t>
      </w:r>
      <w:r w:rsidR="00713AF3">
        <w:rPr>
          <w:rFonts w:ascii="Times New Roman" w:hAnsi="Times New Roman"/>
          <w:sz w:val="24"/>
          <w:szCs w:val="24"/>
          <w:lang w:val="hr-BA"/>
        </w:rPr>
        <w:t>, odnosno depozita.</w:t>
      </w:r>
      <w:r w:rsidR="004F2A77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EB9F8C1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F88E0F2" w14:textId="77777777" w:rsidR="00141C48" w:rsidRDefault="00141C48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12AA624" w14:textId="77777777" w:rsidR="00F719DF" w:rsidRP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FD494C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8.</w:t>
      </w:r>
    </w:p>
    <w:p w14:paraId="1C34813B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254E7938" w14:textId="4104EAB4" w:rsidR="00D62555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BOS je dužan obavijestiti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o svakoj značajnijoj promjeni proizvodnje i potrošnje unutar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alansne grupe kako bi se, eventualno, utvrdile nove visine </w:t>
      </w:r>
      <w:r w:rsidR="00713AF3">
        <w:rPr>
          <w:rFonts w:ascii="Times New Roman" w:hAnsi="Times New Roman"/>
          <w:sz w:val="24"/>
          <w:szCs w:val="24"/>
          <w:lang w:val="hr-BA"/>
        </w:rPr>
        <w:t>instrumen</w:t>
      </w:r>
      <w:r w:rsidR="00DF0D3B">
        <w:rPr>
          <w:rFonts w:ascii="Times New Roman" w:hAnsi="Times New Roman"/>
          <w:sz w:val="24"/>
          <w:szCs w:val="24"/>
          <w:lang w:val="hr-BA"/>
        </w:rPr>
        <w:t>a</w:t>
      </w:r>
      <w:r w:rsidR="00713AF3">
        <w:rPr>
          <w:rFonts w:ascii="Times New Roman" w:hAnsi="Times New Roman"/>
          <w:sz w:val="24"/>
          <w:szCs w:val="24"/>
          <w:lang w:val="hr-BA"/>
        </w:rPr>
        <w:t>ta obezbjeđenja plaćanja.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62555">
        <w:rPr>
          <w:rFonts w:ascii="Times New Roman" w:hAnsi="Times New Roman"/>
          <w:sz w:val="24"/>
          <w:szCs w:val="24"/>
          <w:lang w:val="hr-BA"/>
        </w:rPr>
        <w:t>Značajn</w:t>
      </w:r>
      <w:r w:rsidR="002E50B2">
        <w:rPr>
          <w:rFonts w:ascii="Times New Roman" w:hAnsi="Times New Roman"/>
          <w:sz w:val="24"/>
          <w:szCs w:val="24"/>
          <w:lang w:val="hr-BA"/>
        </w:rPr>
        <w:t>ijom</w:t>
      </w:r>
      <w:r w:rsidR="00D62555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promjenom proizvodnje i potrošnje unutar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alansne grupe će se smatrati promjena veća od 10%. </w:t>
      </w:r>
    </w:p>
    <w:p w14:paraId="4E8D2971" w14:textId="77777777" w:rsidR="00D62555" w:rsidRDefault="00D62555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87BB490" w14:textId="77777777" w:rsidR="009D40E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U slučaju značajnog povećanja proizvodnje i potrošnje BOS je dužan dostaviti </w:t>
      </w:r>
      <w:r w:rsidR="00AF2AF1">
        <w:rPr>
          <w:rFonts w:ascii="Times New Roman" w:hAnsi="Times New Roman"/>
          <w:sz w:val="24"/>
          <w:szCs w:val="24"/>
          <w:lang w:val="hr-BA"/>
        </w:rPr>
        <w:t xml:space="preserve"> nov</w:t>
      </w:r>
      <w:r w:rsidR="00817157">
        <w:rPr>
          <w:rFonts w:ascii="Times New Roman" w:hAnsi="Times New Roman"/>
          <w:sz w:val="24"/>
          <w:szCs w:val="24"/>
          <w:lang w:val="hr-BA"/>
        </w:rPr>
        <w:t>i instrument obezbjeđenja</w:t>
      </w:r>
      <w:r w:rsidR="00713AF3">
        <w:rPr>
          <w:rFonts w:ascii="Times New Roman" w:hAnsi="Times New Roman"/>
          <w:sz w:val="24"/>
          <w:szCs w:val="24"/>
          <w:lang w:val="hr-BA"/>
        </w:rPr>
        <w:t xml:space="preserve"> plaćanja </w:t>
      </w:r>
      <w:r w:rsidRPr="00FD494C">
        <w:rPr>
          <w:rFonts w:ascii="Times New Roman" w:hAnsi="Times New Roman"/>
          <w:sz w:val="24"/>
          <w:szCs w:val="24"/>
          <w:lang w:val="hr-BA"/>
        </w:rPr>
        <w:t>koj</w:t>
      </w:r>
      <w:r w:rsidR="00713AF3">
        <w:rPr>
          <w:rFonts w:ascii="Times New Roman" w:hAnsi="Times New Roman"/>
          <w:sz w:val="24"/>
          <w:szCs w:val="24"/>
          <w:lang w:val="hr-BA"/>
        </w:rPr>
        <w:t>i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će pokrivati navedeno povećanje. </w:t>
      </w:r>
    </w:p>
    <w:p w14:paraId="5CCAA9FD" w14:textId="77777777" w:rsidR="00D33036" w:rsidRDefault="00D33036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5E83928" w14:textId="77777777" w:rsidR="00F719DF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BOS ima pravo </w:t>
      </w:r>
      <w:r w:rsidR="00D33036">
        <w:rPr>
          <w:rFonts w:ascii="Times New Roman" w:hAnsi="Times New Roman"/>
          <w:sz w:val="24"/>
          <w:szCs w:val="24"/>
          <w:lang w:val="hr-BA"/>
        </w:rPr>
        <w:t xml:space="preserve">i </w:t>
      </w:r>
      <w:r w:rsidRPr="00FD494C">
        <w:rPr>
          <w:rFonts w:ascii="Times New Roman" w:hAnsi="Times New Roman"/>
          <w:sz w:val="24"/>
          <w:szCs w:val="24"/>
          <w:lang w:val="hr-BA"/>
        </w:rPr>
        <w:t>na smanjenje iznos</w:t>
      </w:r>
      <w:r w:rsidR="00A772FE">
        <w:rPr>
          <w:rFonts w:ascii="Times New Roman" w:hAnsi="Times New Roman"/>
          <w:sz w:val="24"/>
          <w:szCs w:val="24"/>
          <w:lang w:val="hr-BA"/>
        </w:rPr>
        <w:t>a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13AF3">
        <w:rPr>
          <w:rFonts w:ascii="Times New Roman" w:hAnsi="Times New Roman"/>
          <w:sz w:val="24"/>
          <w:szCs w:val="24"/>
          <w:lang w:val="hr-BA"/>
        </w:rPr>
        <w:t xml:space="preserve">instrumenta obezbjeđenja plaćanja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u slučaju značajnijeg smanjenja proizvodnje i potrošnje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>alansne grupe.</w:t>
      </w:r>
    </w:p>
    <w:p w14:paraId="18E5A31A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CAEE1AE" w14:textId="77777777" w:rsidR="009520D1" w:rsidRDefault="009520D1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14A3C2" w14:textId="77777777" w:rsidR="00FD494C" w:rsidRPr="00FD494C" w:rsidRDefault="00FD494C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FD494C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9.</w:t>
      </w:r>
    </w:p>
    <w:p w14:paraId="5EDB1142" w14:textId="77777777" w:rsidR="00FD494C" w:rsidRDefault="00FD494C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BA"/>
        </w:rPr>
      </w:pPr>
    </w:p>
    <w:p w14:paraId="1531EB45" w14:textId="77777777" w:rsidR="00FD494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Ukoliko procijeni da je došlo do značajne promjene energetskih veličina proizvodnje i potrošnje BOS-a,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može pokrenuti postupak </w:t>
      </w:r>
      <w:r w:rsidR="00843A6A">
        <w:rPr>
          <w:rFonts w:ascii="Times New Roman" w:hAnsi="Times New Roman"/>
          <w:sz w:val="24"/>
          <w:szCs w:val="24"/>
          <w:lang w:val="hr-BA"/>
        </w:rPr>
        <w:t xml:space="preserve">ponovnog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izračuna i zahtijevati dostavljanje novih </w:t>
      </w:r>
      <w:r w:rsidR="00A96169">
        <w:rPr>
          <w:rFonts w:ascii="Times New Roman" w:hAnsi="Times New Roman"/>
          <w:sz w:val="24"/>
          <w:szCs w:val="24"/>
          <w:lang w:val="hr-BA"/>
        </w:rPr>
        <w:lastRenderedPageBreak/>
        <w:t>instrumenata obezbjeđenja plaćanja</w:t>
      </w:r>
      <w:r w:rsidR="00843A6A">
        <w:rPr>
          <w:rFonts w:ascii="Times New Roman" w:hAnsi="Times New Roman"/>
          <w:sz w:val="24"/>
          <w:szCs w:val="24"/>
          <w:lang w:val="hr-BA"/>
        </w:rPr>
        <w:t>.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Osnova za proračun su historijski podaci za energetske veličine u prethodna 3 mjeseca ili planirane energetske veličine koje dostavi BOS. </w:t>
      </w:r>
    </w:p>
    <w:p w14:paraId="371B64D3" w14:textId="77777777" w:rsidR="00FD494C" w:rsidRPr="00FD494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0F7B351" w14:textId="77777777" w:rsidR="00386DD0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>Obaveza BOS-a je da obezbijedi tražen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i </w:t>
      </w:r>
      <w:r w:rsidR="00A96169" w:rsidRPr="00A96169">
        <w:rPr>
          <w:rFonts w:ascii="Times New Roman" w:hAnsi="Times New Roman"/>
          <w:sz w:val="24"/>
          <w:szCs w:val="24"/>
          <w:lang w:val="hr-BA"/>
        </w:rPr>
        <w:t xml:space="preserve">iznos instrumenta obezbjeđenja plaćanja  </w:t>
      </w:r>
      <w:r w:rsidRPr="00FD494C">
        <w:rPr>
          <w:rFonts w:ascii="Times New Roman" w:hAnsi="Times New Roman"/>
          <w:sz w:val="24"/>
          <w:szCs w:val="24"/>
          <w:lang w:val="hr-BA"/>
        </w:rPr>
        <w:t>za cijeli period važenja</w:t>
      </w:r>
      <w:r>
        <w:rPr>
          <w:rFonts w:ascii="Times New Roman" w:hAnsi="Times New Roman"/>
          <w:sz w:val="24"/>
          <w:szCs w:val="24"/>
          <w:lang w:val="hr-BA"/>
        </w:rPr>
        <w:t xml:space="preserve"> ovog ugovora,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s tim da se 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instrument obezbjeđenja plaćanja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96169">
        <w:rPr>
          <w:rFonts w:ascii="Times New Roman" w:hAnsi="Times New Roman"/>
          <w:sz w:val="24"/>
          <w:szCs w:val="24"/>
          <w:lang w:val="hr-BA"/>
        </w:rPr>
        <w:t>dostavlja</w:t>
      </w:r>
      <w:r w:rsidR="00A96169"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u intervalima od jedne godine. </w:t>
      </w:r>
    </w:p>
    <w:p w14:paraId="29A6FAE7" w14:textId="77777777" w:rsidR="007244D3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5F4268B" w14:textId="77777777" w:rsidR="006808E7" w:rsidRDefault="00A96169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Instrument obezbjeđenja plaćanja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dostavlja </w:t>
      </w:r>
      <w:r w:rsidR="007244D3" w:rsidRPr="00FD494C">
        <w:rPr>
          <w:rFonts w:ascii="Times New Roman" w:hAnsi="Times New Roman"/>
          <w:sz w:val="24"/>
          <w:szCs w:val="24"/>
          <w:lang w:val="hr-BA"/>
        </w:rPr>
        <w:t xml:space="preserve">se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>nakon potpis</w:t>
      </w:r>
      <w:r w:rsidR="007244D3">
        <w:rPr>
          <w:rFonts w:ascii="Times New Roman" w:hAnsi="Times New Roman"/>
          <w:sz w:val="24"/>
          <w:szCs w:val="24"/>
          <w:lang w:val="hr-BA"/>
        </w:rPr>
        <w:t>ivanj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a </w:t>
      </w:r>
      <w:r w:rsidR="007244D3">
        <w:rPr>
          <w:rFonts w:ascii="Times New Roman" w:hAnsi="Times New Roman"/>
          <w:sz w:val="24"/>
          <w:szCs w:val="24"/>
          <w:lang w:val="hr-BA"/>
        </w:rPr>
        <w:t>u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govora o balansnoj odgovornosti, s tim </w:t>
      </w:r>
      <w:r w:rsidR="007244D3">
        <w:rPr>
          <w:rFonts w:ascii="Times New Roman" w:hAnsi="Times New Roman"/>
          <w:sz w:val="24"/>
          <w:szCs w:val="24"/>
          <w:lang w:val="hr-BA"/>
        </w:rPr>
        <w:t>da taj u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govor postaje važeći tek po dostavljanju </w:t>
      </w:r>
      <w:r>
        <w:rPr>
          <w:rFonts w:ascii="Times New Roman" w:hAnsi="Times New Roman"/>
          <w:sz w:val="24"/>
          <w:szCs w:val="24"/>
          <w:lang w:val="hr-BA"/>
        </w:rPr>
        <w:t>bankarske garancije ili uplate depozita.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027765F0" w14:textId="77777777" w:rsidR="006808E7" w:rsidRDefault="006808E7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98E4795" w14:textId="77777777" w:rsidR="00FD494C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I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nstrument obezbjeđenja plaćanja </w:t>
      </w:r>
      <w:r>
        <w:rPr>
          <w:rFonts w:ascii="Times New Roman" w:hAnsi="Times New Roman"/>
          <w:sz w:val="24"/>
          <w:szCs w:val="24"/>
          <w:lang w:val="hr-BA"/>
        </w:rPr>
        <w:t>NOSBiH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će aktivirati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>u slučaju neispunj</w:t>
      </w:r>
      <w:r>
        <w:rPr>
          <w:rFonts w:ascii="Times New Roman" w:hAnsi="Times New Roman"/>
          <w:sz w:val="24"/>
          <w:szCs w:val="24"/>
          <w:lang w:val="hr-BA"/>
        </w:rPr>
        <w:t>ava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nja obaveza BOS-a koje se odnose na plaćanja predviđena </w:t>
      </w:r>
      <w:r w:rsidR="00FD494C">
        <w:rPr>
          <w:rFonts w:ascii="Times New Roman" w:hAnsi="Times New Roman"/>
          <w:sz w:val="24"/>
          <w:szCs w:val="24"/>
          <w:lang w:val="hr-BA"/>
        </w:rPr>
        <w:t>ovim ugovorom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225CFD18" w14:textId="77777777" w:rsidR="00FD494C" w:rsidRPr="000F16C8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46643A7" w14:textId="74ACCC89" w:rsidR="00FB540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>Nakon aktiviranja, BOS je novu bankovnu garanciju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 ili depozit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dužan dostaviti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, odnosno uplatiti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u roku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 xml:space="preserve"> od 7 dana nakon aktivacije</w:t>
      </w:r>
      <w:r w:rsidR="007244D3">
        <w:rPr>
          <w:rFonts w:ascii="Times New Roman" w:hAnsi="Times New Roman"/>
          <w:sz w:val="24"/>
          <w:szCs w:val="24"/>
          <w:lang w:val="hr-BA"/>
        </w:rPr>
        <w:t>,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ukoliko je</w:t>
      </w:r>
      <w:r w:rsidR="00FB540C" w:rsidRPr="000F16C8">
        <w:rPr>
          <w:rFonts w:ascii="Times New Roman" w:hAnsi="Times New Roman"/>
          <w:sz w:val="24"/>
          <w:szCs w:val="24"/>
          <w:lang w:val="hr-BA"/>
        </w:rPr>
        <w:t xml:space="preserve"> garancija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, odnosno depozit 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iskorišten u punom iznosu</w:t>
      </w:r>
      <w:r w:rsidRPr="000F16C8">
        <w:rPr>
          <w:rFonts w:ascii="Times New Roman" w:hAnsi="Times New Roman"/>
          <w:sz w:val="24"/>
          <w:szCs w:val="24"/>
          <w:lang w:val="hr-BA"/>
        </w:rPr>
        <w:t>.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423E57E0" w14:textId="77777777" w:rsidR="007244D3" w:rsidRPr="000F16C8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BE1007" w14:textId="50112147" w:rsidR="00FD494C" w:rsidRDefault="001F7517" w:rsidP="009B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 xml:space="preserve">Ukoliko je 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instrument obezbjeđenja 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 plaćanja </w:t>
      </w:r>
      <w:r w:rsidRPr="000F16C8">
        <w:rPr>
          <w:rFonts w:ascii="Times New Roman" w:hAnsi="Times New Roman"/>
          <w:sz w:val="24"/>
          <w:szCs w:val="24"/>
          <w:lang w:val="hr-BA"/>
        </w:rPr>
        <w:t>iskorišten samo djelimično,</w:t>
      </w:r>
      <w:r w:rsidR="009B7B05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0F16C8">
        <w:rPr>
          <w:rFonts w:ascii="Times New Roman" w:hAnsi="Times New Roman"/>
          <w:sz w:val="24"/>
          <w:szCs w:val="24"/>
          <w:lang w:val="hr-BA"/>
        </w:rPr>
        <w:t>banka treba da izvrši povrat originalne garancije sa naznakom iznosa protesta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>, odnosno</w:t>
      </w:r>
      <w:r w:rsidR="007244D3">
        <w:rPr>
          <w:rFonts w:ascii="Times New Roman" w:hAnsi="Times New Roman"/>
          <w:sz w:val="24"/>
          <w:szCs w:val="24"/>
          <w:lang w:val="hr-BA"/>
        </w:rPr>
        <w:t>,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 BOS je dužan da uplati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 xml:space="preserve">iskorišteni </w:t>
      </w:r>
      <w:r w:rsidR="00DF0D3B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iznos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 xml:space="preserve">depozita u roku od </w:t>
      </w:r>
      <w:r w:rsidR="007244D3">
        <w:rPr>
          <w:rFonts w:ascii="Times New Roman" w:hAnsi="Times New Roman"/>
          <w:sz w:val="24"/>
          <w:szCs w:val="24"/>
          <w:lang w:val="hr-BA"/>
        </w:rPr>
        <w:t>sedam (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>7</w:t>
      </w:r>
      <w:r w:rsidR="007244D3">
        <w:rPr>
          <w:rFonts w:ascii="Times New Roman" w:hAnsi="Times New Roman"/>
          <w:sz w:val="24"/>
          <w:szCs w:val="24"/>
          <w:lang w:val="hr-BA"/>
        </w:rPr>
        <w:t xml:space="preserve">)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>dana nakon aktivacije.</w:t>
      </w:r>
      <w:r w:rsidR="000A28A5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591378AE" w14:textId="77777777" w:rsidR="003A2178" w:rsidRDefault="003A2178" w:rsidP="009B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279CCB6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25AF38D0" w14:textId="77777777" w:rsidR="009520D1" w:rsidRDefault="009520D1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E233D1B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F16C8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DC1468" w:rsidRPr="000F16C8">
        <w:rPr>
          <w:rFonts w:ascii="Times New Roman" w:hAnsi="Times New Roman"/>
          <w:b/>
          <w:sz w:val="24"/>
          <w:szCs w:val="24"/>
          <w:lang w:val="hr-BA"/>
        </w:rPr>
        <w:t>10</w:t>
      </w:r>
      <w:r w:rsidRPr="000F16C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38EC21D4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5DAA6DE" w14:textId="531CB458" w:rsidR="001E0BEE" w:rsidRPr="000F16C8" w:rsidRDefault="00514920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 xml:space="preserve">Ukoliko 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BOS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ne ispuni obavezu plaćanja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,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CF5794" w:rsidRPr="000F16C8">
        <w:rPr>
          <w:rFonts w:ascii="Times New Roman" w:hAnsi="Times New Roman"/>
          <w:sz w:val="24"/>
          <w:szCs w:val="24"/>
          <w:lang w:val="hr-BA"/>
        </w:rPr>
        <w:t>č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itav odnosno preostali iznos duga zajedno sa kamatom 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smatra se </w:t>
      </w:r>
      <w:r w:rsidRPr="000F16C8">
        <w:rPr>
          <w:rFonts w:ascii="Times New Roman" w:hAnsi="Times New Roman"/>
          <w:sz w:val="24"/>
          <w:szCs w:val="24"/>
          <w:lang w:val="hr-BA"/>
        </w:rPr>
        <w:t>dospje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>lim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za naplatu.</w:t>
      </w:r>
    </w:p>
    <w:p w14:paraId="40407F38" w14:textId="77777777" w:rsidR="00647EF6" w:rsidRPr="000F16C8" w:rsidRDefault="00647EF6" w:rsidP="0051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055D68C1" w14:textId="77777777" w:rsidR="008019AF" w:rsidRDefault="001E3538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o isteku roka definisanog za naplatu </w:t>
      </w:r>
      <w:r w:rsidR="00A772FE" w:rsidRPr="000F16C8">
        <w:rPr>
          <w:rFonts w:ascii="Times New Roman" w:hAnsi="Times New Roman"/>
          <w:sz w:val="24"/>
          <w:szCs w:val="24"/>
          <w:lang w:val="hr-BA"/>
        </w:rPr>
        <w:t>NOSB</w:t>
      </w:r>
      <w:r w:rsidR="00F01678" w:rsidRPr="000F16C8">
        <w:rPr>
          <w:rFonts w:ascii="Times New Roman" w:hAnsi="Times New Roman"/>
          <w:sz w:val="24"/>
          <w:szCs w:val="24"/>
          <w:lang w:val="hr-BA"/>
        </w:rPr>
        <w:t>i</w:t>
      </w:r>
      <w:r w:rsidR="00A772FE" w:rsidRPr="000F16C8">
        <w:rPr>
          <w:rFonts w:ascii="Times New Roman" w:hAnsi="Times New Roman"/>
          <w:sz w:val="24"/>
          <w:szCs w:val="24"/>
          <w:lang w:val="hr-BA"/>
        </w:rPr>
        <w:t>H</w:t>
      </w:r>
      <w:r w:rsidR="003B7784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će u skladu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sa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članom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11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o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vog ugovora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>pristupiti aktivaciji bankovne garancije</w:t>
      </w:r>
      <w:r w:rsidR="00B531EF" w:rsidRPr="000F16C8">
        <w:rPr>
          <w:rFonts w:ascii="Times New Roman" w:hAnsi="Times New Roman"/>
          <w:sz w:val="24"/>
          <w:szCs w:val="24"/>
          <w:lang w:val="hr-BA"/>
        </w:rPr>
        <w:t xml:space="preserve">, odnosno povlačenju depozita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za</w:t>
      </w:r>
      <w:r w:rsidR="0081111E" w:rsidRPr="000F16C8">
        <w:rPr>
          <w:rFonts w:ascii="Times New Roman" w:hAnsi="Times New Roman"/>
          <w:sz w:val="24"/>
          <w:szCs w:val="24"/>
          <w:lang w:val="hr-BA"/>
        </w:rPr>
        <w:t xml:space="preserve"> iznos koji potražuje od </w:t>
      </w:r>
    </w:p>
    <w:p w14:paraId="6B886CAF" w14:textId="0F3F6E56" w:rsidR="0081111E" w:rsidRPr="000F16C8" w:rsidRDefault="00075B48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>BOS-a</w:t>
      </w:r>
      <w:r w:rsidR="000F16C8">
        <w:rPr>
          <w:rFonts w:ascii="Times New Roman" w:hAnsi="Times New Roman"/>
          <w:sz w:val="24"/>
          <w:szCs w:val="24"/>
          <w:lang w:val="hr-BA"/>
        </w:rPr>
        <w:t>.</w:t>
      </w:r>
    </w:p>
    <w:p w14:paraId="6BBE54BB" w14:textId="77777777" w:rsidR="002676DE" w:rsidRPr="00075B48" w:rsidRDefault="002676DE" w:rsidP="00811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7FC57E25" w14:textId="77777777" w:rsidR="002676DE" w:rsidRPr="00075B48" w:rsidRDefault="002676DE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 xml:space="preserve">Član </w:t>
      </w:r>
      <w:r w:rsidR="00DC1468">
        <w:rPr>
          <w:rFonts w:ascii="Times New Roman" w:eastAsia="Times New Roman" w:hAnsi="Times New Roman"/>
          <w:b/>
          <w:sz w:val="24"/>
          <w:szCs w:val="24"/>
          <w:lang w:val="hr-BA"/>
        </w:rPr>
        <w:t>11</w:t>
      </w: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.</w:t>
      </w:r>
    </w:p>
    <w:p w14:paraId="56854727" w14:textId="77777777" w:rsidR="002676DE" w:rsidRPr="00075B48" w:rsidRDefault="002676DE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</w:p>
    <w:p w14:paraId="52078ACB" w14:textId="7CE74A0F" w:rsidR="004D3900" w:rsidRPr="004D3900" w:rsidRDefault="00A772FE" w:rsidP="004D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>
        <w:rPr>
          <w:rFonts w:ascii="Times New Roman" w:hAnsi="Times New Roman"/>
          <w:sz w:val="24"/>
          <w:szCs w:val="24"/>
          <w:lang w:val="hr-BA"/>
        </w:rPr>
        <w:t>H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je obavezan da </w:t>
      </w:r>
      <w:r w:rsidR="00952E3C">
        <w:rPr>
          <w:rFonts w:ascii="Times New Roman" w:hAnsi="Times New Roman"/>
          <w:sz w:val="24"/>
          <w:szCs w:val="24"/>
          <w:lang w:val="hr-BA"/>
        </w:rPr>
        <w:t>načini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obračun mjesečne naknade </w:t>
      </w:r>
      <w:r w:rsidR="00647EF6">
        <w:rPr>
          <w:rFonts w:ascii="Times New Roman" w:hAnsi="Times New Roman"/>
          <w:sz w:val="24"/>
          <w:szCs w:val="24"/>
          <w:lang w:val="hr-BA"/>
        </w:rPr>
        <w:t>za odstupanje balansne grupe za o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bračunski period i dostavi ga </w:t>
      </w:r>
      <w:r w:rsidR="00075B48" w:rsidRPr="00075B48">
        <w:rPr>
          <w:rFonts w:ascii="Times New Roman" w:hAnsi="Times New Roman"/>
          <w:sz w:val="24"/>
          <w:szCs w:val="24"/>
          <w:lang w:val="hr-BA"/>
        </w:rPr>
        <w:t xml:space="preserve">BOS-u 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>u skladu sa</w:t>
      </w:r>
      <w:r w:rsidR="006E6B38">
        <w:rPr>
          <w:rFonts w:ascii="Times New Roman" w:hAnsi="Times New Roman"/>
          <w:sz w:val="24"/>
          <w:szCs w:val="24"/>
          <w:lang w:val="hr-BA"/>
        </w:rPr>
        <w:t xml:space="preserve"> Tržišnim pravilima.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E6B38" w:rsidRPr="006E6B38">
        <w:rPr>
          <w:rFonts w:ascii="Times New Roman" w:hAnsi="Times New Roman"/>
          <w:sz w:val="24"/>
          <w:szCs w:val="24"/>
          <w:lang w:val="hr-BA"/>
        </w:rPr>
        <w:t xml:space="preserve">Plaćanja po osnovu debalansa vrše </w:t>
      </w:r>
      <w:r w:rsidR="00952E3C" w:rsidRPr="006E6B38">
        <w:rPr>
          <w:rFonts w:ascii="Times New Roman" w:hAnsi="Times New Roman"/>
          <w:sz w:val="24"/>
          <w:szCs w:val="24"/>
          <w:lang w:val="hr-BA"/>
        </w:rPr>
        <w:t xml:space="preserve">se </w:t>
      </w:r>
      <w:r w:rsidR="006E6B38" w:rsidRPr="006E6B38">
        <w:rPr>
          <w:rFonts w:ascii="Times New Roman" w:hAnsi="Times New Roman"/>
          <w:sz w:val="24"/>
          <w:szCs w:val="24"/>
          <w:lang w:val="hr-BA"/>
        </w:rPr>
        <w:t xml:space="preserve">na osnovu konačnog mjesečnog obračuna debalansa. 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>Mjesečno dugovanje BOS-a po osnovi  debalansa predstavlja zbir troškova debalansa z</w:t>
      </w:r>
      <w:r w:rsidR="00E37699">
        <w:rPr>
          <w:rFonts w:ascii="Times New Roman" w:hAnsi="Times New Roman"/>
          <w:sz w:val="24"/>
          <w:szCs w:val="24"/>
          <w:lang w:val="hr-BA"/>
        </w:rPr>
        <w:t xml:space="preserve">a sve periode poravnanja u toku mjeseca 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>u kojem BOS plaća NOSBiH</w:t>
      </w:r>
      <w:r w:rsidR="004D3900">
        <w:rPr>
          <w:rFonts w:ascii="Times New Roman" w:hAnsi="Times New Roman"/>
          <w:sz w:val="24"/>
          <w:szCs w:val="24"/>
          <w:lang w:val="hr-BA"/>
        </w:rPr>
        <w:t>-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 xml:space="preserve"> u za debalans koji je taj BOS ostvario.</w:t>
      </w:r>
    </w:p>
    <w:p w14:paraId="06646F9B" w14:textId="77777777" w:rsidR="004D3900" w:rsidRDefault="004D3900" w:rsidP="004D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4D3900">
        <w:rPr>
          <w:rFonts w:ascii="Times New Roman" w:hAnsi="Times New Roman"/>
          <w:sz w:val="24"/>
          <w:szCs w:val="24"/>
          <w:lang w:val="hr-BA"/>
        </w:rPr>
        <w:t>Mjesečno potraživanje BOS-a po osnovi  debal</w:t>
      </w:r>
      <w:r w:rsidR="008928FC">
        <w:rPr>
          <w:rFonts w:ascii="Times New Roman" w:hAnsi="Times New Roman"/>
          <w:sz w:val="24"/>
          <w:szCs w:val="24"/>
          <w:lang w:val="hr-BA"/>
        </w:rPr>
        <w:t>a</w:t>
      </w:r>
      <w:r w:rsidR="00F655D9">
        <w:rPr>
          <w:rFonts w:ascii="Times New Roman" w:hAnsi="Times New Roman"/>
          <w:sz w:val="24"/>
          <w:szCs w:val="24"/>
          <w:lang w:val="hr-BA"/>
        </w:rPr>
        <w:t>nsa predstavlja zbir</w:t>
      </w:r>
      <w:r w:rsidRPr="004D3900">
        <w:rPr>
          <w:rFonts w:ascii="Times New Roman" w:hAnsi="Times New Roman"/>
          <w:sz w:val="24"/>
          <w:szCs w:val="24"/>
          <w:lang w:val="hr-BA"/>
        </w:rPr>
        <w:t xml:space="preserve"> troškova debalansa za sve periode poravnanja u toku mjeseca u kojima NOSBiH plaća BOS</w:t>
      </w:r>
      <w:r>
        <w:rPr>
          <w:rFonts w:ascii="Times New Roman" w:hAnsi="Times New Roman"/>
          <w:sz w:val="24"/>
          <w:szCs w:val="24"/>
          <w:lang w:val="hr-BA"/>
        </w:rPr>
        <w:t>-</w:t>
      </w:r>
      <w:r w:rsidRPr="004D3900">
        <w:rPr>
          <w:rFonts w:ascii="Times New Roman" w:hAnsi="Times New Roman"/>
          <w:sz w:val="24"/>
          <w:szCs w:val="24"/>
          <w:lang w:val="hr-BA"/>
        </w:rPr>
        <w:t xml:space="preserve"> u za debalans koji je taj BOS ostvario.</w:t>
      </w:r>
    </w:p>
    <w:p w14:paraId="561A4953" w14:textId="77777777" w:rsidR="005C33FA" w:rsidRDefault="002676DE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devetog (</w:t>
      </w:r>
      <w:r w:rsidR="0021485E">
        <w:rPr>
          <w:rFonts w:ascii="Times New Roman" w:eastAsia="Times New Roman" w:hAnsi="Times New Roman"/>
          <w:sz w:val="24"/>
          <w:szCs w:val="24"/>
          <w:lang w:val="hr-BA"/>
        </w:rPr>
        <w:t>9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="00F67F1A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u mjesecu 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372780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je obavezan obračun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ati</w:t>
      </w:r>
      <w:r w:rsidR="0021485E">
        <w:rPr>
          <w:rFonts w:ascii="Times New Roman" w:eastAsia="Times New Roman" w:hAnsi="Times New Roman"/>
          <w:sz w:val="24"/>
          <w:szCs w:val="24"/>
          <w:lang w:val="hr-BA"/>
        </w:rPr>
        <w:t xml:space="preserve"> i usagla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siti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mjesečne naknade za odstupanje balansne grupe za prethodni kalendarski mjesec i dostavi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ih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075B48" w:rsidRPr="00075B48">
        <w:rPr>
          <w:rFonts w:ascii="Times New Roman" w:eastAsia="Times New Roman" w:hAnsi="Times New Roman"/>
          <w:sz w:val="24"/>
          <w:szCs w:val="24"/>
          <w:lang w:val="hr-BA"/>
        </w:rPr>
        <w:t>BOS-u</w:t>
      </w:r>
      <w:r w:rsidR="005C33FA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97BE1F3" w14:textId="77777777" w:rsidR="000C2254" w:rsidRPr="00AF2AF1" w:rsidRDefault="009C054A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lastRenderedPageBreak/>
        <w:t>Na osnovu ovog obračuna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H će BOS-u</w:t>
      </w:r>
      <w:r w:rsidR="004B266B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ispostaviti fakturu </w:t>
      </w:r>
      <w:r w:rsidR="004B266B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za </w:t>
      </w:r>
      <w:r w:rsidR="004B266B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deba</w:t>
      </w:r>
      <w:r w:rsidR="00F167A5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lans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, odmah, a 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desetog (10.)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u mjesecu sa rokom plaćanja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od sedam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7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="00AF2AF1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kalendarskih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dana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, računajući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datum izdavanja fakture.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</w:p>
    <w:p w14:paraId="3097F73A" w14:textId="77777777" w:rsidR="009C054A" w:rsidRPr="00AF2AF1" w:rsidRDefault="009C054A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t>Isto tako, na osnovu obračuna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H-a, BOS će fakturu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za </w:t>
      </w:r>
      <w:r w:rsidR="001E3B58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debalans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E37CEC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H-u</w:t>
      </w:r>
      <w:r w:rsidR="001E3B58" w:rsidRPr="001E3B5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>ispostaviti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, odmah, a 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desetog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10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u mjesecu sa rokom naplate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od petnaest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15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kalendarskih dana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, računajući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datum </w:t>
      </w:r>
      <w:r w:rsidR="00B44306">
        <w:rPr>
          <w:rFonts w:ascii="Times New Roman" w:eastAsia="Times New Roman" w:hAnsi="Times New Roman"/>
          <w:sz w:val="24"/>
          <w:szCs w:val="24"/>
          <w:lang w:val="hr-BA"/>
        </w:rPr>
        <w:t xml:space="preserve">izdavanja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faktur</w:t>
      </w:r>
      <w:r w:rsidR="00B44306"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. </w:t>
      </w:r>
    </w:p>
    <w:p w14:paraId="50F43EA4" w14:textId="77777777" w:rsidR="00231506" w:rsidRDefault="001622C5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P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rije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nego što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originaln</w:t>
      </w:r>
      <w:r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faktur</w:t>
      </w:r>
      <w:r>
        <w:rPr>
          <w:rFonts w:ascii="Times New Roman" w:eastAsia="Times New Roman" w:hAnsi="Times New Roman"/>
          <w:sz w:val="24"/>
          <w:szCs w:val="24"/>
          <w:lang w:val="hr-BA"/>
        </w:rPr>
        <w:t>e pošalju klasičnom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poštom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H i BOS jedan drugom</w:t>
      </w:r>
      <w:r w:rsidR="009C054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fakture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trebaju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dostaviti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elektronskom poštom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ili fa</w:t>
      </w:r>
      <w:r>
        <w:rPr>
          <w:rFonts w:ascii="Times New Roman" w:eastAsia="Times New Roman" w:hAnsi="Times New Roman"/>
          <w:sz w:val="24"/>
          <w:szCs w:val="24"/>
          <w:lang w:val="hr-BA"/>
        </w:rPr>
        <w:t>ksom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513F9DC" w14:textId="77777777" w:rsidR="00231506" w:rsidRPr="00AF2AF1" w:rsidRDefault="00231506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U slučaju kada do 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d</w:t>
      </w:r>
      <w:r w:rsidR="004D3900"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vetog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9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dana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u mjesecu obračun nije usaglašen ni konačan, tada će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H ispostaviti privremeni obračun. </w:t>
      </w:r>
    </w:p>
    <w:p w14:paraId="2A65566C" w14:textId="77777777" w:rsidR="00231506" w:rsidRPr="00AF2AF1" w:rsidRDefault="00FE5D9C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N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a osnovu takvog privremenog obračuna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H i BOS će ispostaviti fakture za taj mjesec, a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nakon usaglašenog obračuna,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korekcija će uslijediti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izdavanjem knjižnih zaduženja</w:t>
      </w:r>
      <w:r w:rsidR="008C6403" w:rsidRPr="00AF2AF1">
        <w:rPr>
          <w:rFonts w:ascii="Times New Roman" w:eastAsia="Times New Roman" w:hAnsi="Times New Roman"/>
          <w:sz w:val="24"/>
          <w:szCs w:val="24"/>
          <w:lang w:val="hr-BA"/>
        </w:rPr>
        <w:t>/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knjižnih odobrenja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.  </w:t>
      </w:r>
    </w:p>
    <w:p w14:paraId="0CB13D7C" w14:textId="77777777" w:rsidR="002676DE" w:rsidRDefault="006808E7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Član</w:t>
      </w:r>
      <w:r w:rsidR="00DC1468">
        <w:rPr>
          <w:rFonts w:ascii="Times New Roman" w:hAnsi="Times New Roman"/>
          <w:b/>
          <w:sz w:val="24"/>
          <w:szCs w:val="24"/>
          <w:lang w:val="hr-BA"/>
        </w:rPr>
        <w:t xml:space="preserve"> 12</w:t>
      </w:r>
      <w:r w:rsidR="002676DE" w:rsidRPr="00075B4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06908622" w14:textId="77777777" w:rsidR="005C33FA" w:rsidRPr="00075B48" w:rsidRDefault="005C33FA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1766FC9" w14:textId="77777777" w:rsidR="006D5B0A" w:rsidRDefault="002676DE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 xml:space="preserve">Ugovorne strane su saglasne da se obaveze i informacije </w:t>
      </w:r>
      <w:r w:rsidR="008E43EE" w:rsidRPr="00075B48">
        <w:rPr>
          <w:rFonts w:ascii="Times New Roman" w:hAnsi="Times New Roman"/>
          <w:sz w:val="24"/>
          <w:szCs w:val="24"/>
          <w:lang w:val="hr-BA"/>
        </w:rPr>
        <w:t xml:space="preserve">date u ovom </w:t>
      </w:r>
      <w:r w:rsidR="00CF5794" w:rsidRPr="00075B48">
        <w:rPr>
          <w:rFonts w:ascii="Times New Roman" w:hAnsi="Times New Roman"/>
          <w:sz w:val="24"/>
          <w:szCs w:val="24"/>
          <w:lang w:val="hr-BA"/>
        </w:rPr>
        <w:t>ugovoru</w:t>
      </w:r>
      <w:r w:rsidR="005C33F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D5B0A">
        <w:rPr>
          <w:rFonts w:ascii="Times New Roman" w:hAnsi="Times New Roman"/>
          <w:sz w:val="24"/>
          <w:szCs w:val="24"/>
          <w:lang w:val="hr-BA"/>
        </w:rPr>
        <w:t xml:space="preserve">i dokumentima koji proisteknu iz ovog ugovora </w:t>
      </w:r>
      <w:r w:rsidR="005C33FA">
        <w:rPr>
          <w:rFonts w:ascii="Times New Roman" w:hAnsi="Times New Roman"/>
          <w:sz w:val="24"/>
          <w:szCs w:val="24"/>
          <w:lang w:val="hr-BA"/>
        </w:rPr>
        <w:t>smatraju povjerljivim</w:t>
      </w:r>
      <w:r w:rsidR="00C84D06">
        <w:rPr>
          <w:rFonts w:ascii="Times New Roman" w:hAnsi="Times New Roman"/>
          <w:sz w:val="24"/>
          <w:szCs w:val="24"/>
          <w:lang w:val="hr-BA"/>
        </w:rPr>
        <w:t>,</w:t>
      </w:r>
      <w:r w:rsidR="006D5B0A">
        <w:rPr>
          <w:rFonts w:ascii="Times New Roman" w:hAnsi="Times New Roman"/>
          <w:sz w:val="24"/>
          <w:szCs w:val="24"/>
          <w:lang w:val="hr-BA"/>
        </w:rPr>
        <w:t xml:space="preserve"> ako su kao takve označene.</w:t>
      </w:r>
    </w:p>
    <w:p w14:paraId="67AB5D04" w14:textId="77777777" w:rsidR="00C84D06" w:rsidRDefault="00C84D06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41C4AFB" w14:textId="77777777" w:rsidR="002676DE" w:rsidRPr="00075B48" w:rsidRDefault="006D5B0A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Sa povjerljivim informacijama će se postupati u skladu sa propisima koji reguliraju ovu oblast.</w:t>
      </w:r>
    </w:p>
    <w:p w14:paraId="3C754192" w14:textId="77777777" w:rsidR="00200849" w:rsidRPr="00075B48" w:rsidRDefault="00200849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9615554" w14:textId="77777777" w:rsidR="00200849" w:rsidRPr="00075B48" w:rsidRDefault="00200849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61368CF" w14:textId="77777777" w:rsidR="00200849" w:rsidRPr="00075B48" w:rsidRDefault="00200849" w:rsidP="00200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Član 1</w:t>
      </w:r>
      <w:r w:rsidR="00DC1468">
        <w:rPr>
          <w:rFonts w:ascii="Times New Roman" w:hAnsi="Times New Roman"/>
          <w:b/>
          <w:sz w:val="24"/>
          <w:szCs w:val="24"/>
          <w:lang w:val="hr-BA"/>
        </w:rPr>
        <w:t>3</w:t>
      </w:r>
      <w:r w:rsidRPr="00075B4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51A89940" w14:textId="77777777" w:rsidR="00075B48" w:rsidRPr="005452CF" w:rsidRDefault="00075B48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4C0C141A" w14:textId="77777777" w:rsidR="00075B48" w:rsidRPr="005452CF" w:rsidRDefault="00075B48" w:rsidP="00075B48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caps w:val="0"/>
          <w:snapToGrid w:val="0"/>
          <w:lang w:val="hr-HR" w:eastAsia="en-US"/>
        </w:rPr>
      </w:pPr>
      <w:r w:rsidRPr="005452CF">
        <w:rPr>
          <w:rFonts w:ascii="Times New Roman" w:hAnsi="Times New Roman"/>
          <w:b w:val="0"/>
          <w:caps w:val="0"/>
          <w:snapToGrid w:val="0"/>
          <w:lang w:val="hr-HR" w:eastAsia="en-US"/>
        </w:rPr>
        <w:t xml:space="preserve">Sve eventualne sporove </w:t>
      </w:r>
      <w:r w:rsidR="00C84D06">
        <w:rPr>
          <w:rFonts w:ascii="Times New Roman" w:hAnsi="Times New Roman"/>
          <w:b w:val="0"/>
          <w:caps w:val="0"/>
          <w:snapToGrid w:val="0"/>
          <w:lang w:val="hr-HR" w:eastAsia="en-US"/>
        </w:rPr>
        <w:t>u</w:t>
      </w:r>
      <w:r w:rsidRPr="005452CF">
        <w:rPr>
          <w:rFonts w:ascii="Times New Roman" w:hAnsi="Times New Roman"/>
          <w:b w:val="0"/>
          <w:caps w:val="0"/>
          <w:snapToGrid w:val="0"/>
          <w:lang w:val="hr-HR" w:eastAsia="en-US"/>
        </w:rPr>
        <w:t>govorne strane će rješavati sporazumno u duhu dobrih poslovnih odnosa i uzajamnog povjerenja. Ukoliko se sporazumno rješenje ne postigne, nadležan je stvarno nadležni sud u Sarajevu.</w:t>
      </w:r>
    </w:p>
    <w:p w14:paraId="066BF9D9" w14:textId="77777777" w:rsidR="00075B48" w:rsidRDefault="00075B48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775CA97C" w14:textId="77777777" w:rsidR="00FD494C" w:rsidRDefault="00FD494C" w:rsidP="00FD494C">
      <w:pPr>
        <w:pStyle w:val="EBRD-Titololotto"/>
        <w:tabs>
          <w:tab w:val="left" w:pos="720"/>
        </w:tabs>
        <w:rPr>
          <w:rFonts w:ascii="Times New Roman" w:hAnsi="Times New Roman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Cs/>
          <w:caps w:val="0"/>
          <w:snapToGrid w:val="0"/>
          <w:lang w:val="hr-HR" w:eastAsia="en-US"/>
        </w:rPr>
        <w:t xml:space="preserve">Član </w:t>
      </w:r>
      <w:r w:rsidR="00DC1468">
        <w:rPr>
          <w:rFonts w:ascii="Times New Roman" w:hAnsi="Times New Roman"/>
          <w:bCs/>
          <w:caps w:val="0"/>
          <w:snapToGrid w:val="0"/>
          <w:lang w:val="hr-HR" w:eastAsia="en-US"/>
        </w:rPr>
        <w:t>14.</w:t>
      </w:r>
    </w:p>
    <w:p w14:paraId="38DEE7F8" w14:textId="77777777" w:rsidR="00FD494C" w:rsidRDefault="00FD494C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5A75DA8D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Ugovor o balansnoj odgovornosti može se raskinuti u slučaju zahtjeva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-a ili BOS-a. </w:t>
      </w:r>
    </w:p>
    <w:p w14:paraId="764E3BAB" w14:textId="77777777" w:rsidR="00C84D06" w:rsidRDefault="00C84D06" w:rsidP="00B242B0">
      <w:pPr>
        <w:pStyle w:val="Default"/>
        <w:jc w:val="both"/>
        <w:rPr>
          <w:sz w:val="23"/>
          <w:szCs w:val="23"/>
        </w:rPr>
      </w:pPr>
    </w:p>
    <w:p w14:paraId="32541744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slučaju zahtjeva BOS-a za raskid </w:t>
      </w:r>
      <w:r w:rsidR="00C84D06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odgovornosti, BOS je dužan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-u podnijeti pismeni zahtjev za raskid </w:t>
      </w:r>
      <w:r w:rsidR="00C84D06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odgovornosti, kao i BG obrazac za isključenje iz balansne grupe, za svakog učesnika na tržištu za koju je balansno odgovoran. </w:t>
      </w:r>
    </w:p>
    <w:p w14:paraId="5F0D6730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</w:p>
    <w:p w14:paraId="203C9453" w14:textId="77777777" w:rsidR="00DC1468" w:rsidRDefault="00DC1468" w:rsidP="006808E7">
      <w:pPr>
        <w:pStyle w:val="Default"/>
        <w:jc w:val="center"/>
        <w:rPr>
          <w:sz w:val="23"/>
          <w:szCs w:val="23"/>
        </w:rPr>
      </w:pPr>
    </w:p>
    <w:p w14:paraId="4F12FF9B" w14:textId="77777777" w:rsidR="006808E7" w:rsidRDefault="006808E7" w:rsidP="006808E7">
      <w:pPr>
        <w:pStyle w:val="Default"/>
        <w:jc w:val="center"/>
        <w:rPr>
          <w:b/>
          <w:sz w:val="23"/>
          <w:szCs w:val="23"/>
        </w:rPr>
      </w:pPr>
      <w:r w:rsidRPr="006808E7">
        <w:rPr>
          <w:b/>
          <w:sz w:val="23"/>
          <w:szCs w:val="23"/>
        </w:rPr>
        <w:t xml:space="preserve">Član </w:t>
      </w:r>
      <w:r w:rsidR="00DC1468">
        <w:rPr>
          <w:b/>
          <w:sz w:val="23"/>
          <w:szCs w:val="23"/>
        </w:rPr>
        <w:t>15.</w:t>
      </w:r>
    </w:p>
    <w:p w14:paraId="26E4B3C7" w14:textId="77777777" w:rsidR="00DC1468" w:rsidRPr="006808E7" w:rsidRDefault="00DC1468" w:rsidP="006808E7">
      <w:pPr>
        <w:pStyle w:val="Default"/>
        <w:jc w:val="center"/>
        <w:rPr>
          <w:b/>
          <w:sz w:val="23"/>
          <w:szCs w:val="23"/>
        </w:rPr>
      </w:pPr>
    </w:p>
    <w:p w14:paraId="2ED1A44C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  <w:r w:rsidRPr="00E41711">
        <w:rPr>
          <w:sz w:val="23"/>
          <w:szCs w:val="23"/>
        </w:rPr>
        <w:t xml:space="preserve">Raskidni rok iz </w:t>
      </w:r>
      <w:r w:rsidR="00C2529C" w:rsidRPr="00E41711">
        <w:rPr>
          <w:color w:val="auto"/>
          <w:sz w:val="23"/>
          <w:szCs w:val="23"/>
        </w:rPr>
        <w:t>člana 14. o</w:t>
      </w:r>
      <w:r w:rsidR="002016DA" w:rsidRPr="00E41711">
        <w:rPr>
          <w:color w:val="auto"/>
          <w:sz w:val="23"/>
          <w:szCs w:val="23"/>
        </w:rPr>
        <w:t>vog ugovora</w:t>
      </w:r>
      <w:r w:rsidRPr="00E41711">
        <w:rPr>
          <w:color w:val="auto"/>
          <w:sz w:val="23"/>
          <w:szCs w:val="23"/>
        </w:rPr>
        <w:t xml:space="preserve"> </w:t>
      </w:r>
      <w:r w:rsidRPr="00E41711">
        <w:rPr>
          <w:sz w:val="23"/>
          <w:szCs w:val="23"/>
        </w:rPr>
        <w:t>počinje da teče od prvog kalendarskog dana mjeseca</w:t>
      </w:r>
      <w:r w:rsidR="00082B2C">
        <w:rPr>
          <w:sz w:val="23"/>
          <w:szCs w:val="23"/>
        </w:rPr>
        <w:t xml:space="preserve"> koji slijedi nakon</w:t>
      </w:r>
      <w:r w:rsidRPr="00E41711">
        <w:rPr>
          <w:sz w:val="23"/>
          <w:szCs w:val="23"/>
        </w:rPr>
        <w:t xml:space="preserve"> datum</w:t>
      </w:r>
      <w:r w:rsidR="00082B2C">
        <w:rPr>
          <w:sz w:val="23"/>
          <w:szCs w:val="23"/>
        </w:rPr>
        <w:t>a</w:t>
      </w:r>
      <w:r w:rsidRPr="00E41711">
        <w:rPr>
          <w:sz w:val="23"/>
          <w:szCs w:val="23"/>
        </w:rPr>
        <w:t xml:space="preserve"> prijema zahtjeva o raskidu ugovora o balansnoj odgovornosti. Ugovorni odnos prestaje po isteku raskidnog roka koji traje dva kalendarska mjeseca</w:t>
      </w:r>
      <w:r w:rsidR="005E19E7" w:rsidRPr="00E41711">
        <w:rPr>
          <w:sz w:val="23"/>
          <w:szCs w:val="23"/>
        </w:rPr>
        <w:t>.</w:t>
      </w:r>
    </w:p>
    <w:p w14:paraId="3B98CAA1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</w:p>
    <w:p w14:paraId="6FA26637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toku trajanja raskidnog roka BOS ima sva prava i obaveze iz ugovora o balansnoj odgovornosti.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 i BOS su dužni da tok</w:t>
      </w:r>
      <w:r w:rsidR="00082B2C">
        <w:rPr>
          <w:sz w:val="23"/>
          <w:szCs w:val="23"/>
        </w:rPr>
        <w:t>om</w:t>
      </w:r>
      <w:r>
        <w:rPr>
          <w:sz w:val="23"/>
          <w:szCs w:val="23"/>
        </w:rPr>
        <w:t xml:space="preserve"> trajanja raskidnog roka regulišu prava i obaveze po osnovu raskida ugovora o balansnoj odgovornosti. </w:t>
      </w:r>
    </w:p>
    <w:p w14:paraId="4438431E" w14:textId="77777777" w:rsidR="006808E7" w:rsidRDefault="006808E7" w:rsidP="00FD494C">
      <w:pPr>
        <w:pStyle w:val="Default"/>
        <w:jc w:val="both"/>
        <w:rPr>
          <w:sz w:val="23"/>
          <w:szCs w:val="23"/>
        </w:rPr>
      </w:pPr>
    </w:p>
    <w:p w14:paraId="3D73A88B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1915C3C0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73035BC3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62E43ED3" w14:textId="77777777" w:rsidR="006808E7" w:rsidRPr="006808E7" w:rsidRDefault="006808E7" w:rsidP="006808E7">
      <w:pPr>
        <w:pStyle w:val="Default"/>
        <w:jc w:val="center"/>
        <w:rPr>
          <w:b/>
          <w:sz w:val="23"/>
          <w:szCs w:val="23"/>
        </w:rPr>
      </w:pPr>
      <w:r w:rsidRPr="006808E7">
        <w:rPr>
          <w:b/>
          <w:sz w:val="23"/>
          <w:szCs w:val="23"/>
        </w:rPr>
        <w:t xml:space="preserve">Član </w:t>
      </w:r>
      <w:r w:rsidR="00DC1468">
        <w:rPr>
          <w:b/>
          <w:sz w:val="23"/>
          <w:szCs w:val="23"/>
        </w:rPr>
        <w:t>16.</w:t>
      </w:r>
    </w:p>
    <w:p w14:paraId="694B0F93" w14:textId="77777777" w:rsidR="006808E7" w:rsidRDefault="006808E7" w:rsidP="006808E7">
      <w:pPr>
        <w:pStyle w:val="Default"/>
        <w:jc w:val="center"/>
        <w:rPr>
          <w:sz w:val="23"/>
          <w:szCs w:val="23"/>
        </w:rPr>
      </w:pPr>
    </w:p>
    <w:p w14:paraId="7FA15BF5" w14:textId="77777777" w:rsidR="00FD494C" w:rsidRDefault="004C6387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slijedećim slučajevima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 w:rsidR="00FD494C">
        <w:rPr>
          <w:sz w:val="23"/>
          <w:szCs w:val="23"/>
        </w:rPr>
        <w:t xml:space="preserve"> može jednostrano raskin</w:t>
      </w:r>
      <w:r>
        <w:rPr>
          <w:sz w:val="23"/>
          <w:szCs w:val="23"/>
        </w:rPr>
        <w:t>uti</w:t>
      </w:r>
      <w:r w:rsidR="00FD494C">
        <w:rPr>
          <w:sz w:val="23"/>
          <w:szCs w:val="23"/>
        </w:rPr>
        <w:t xml:space="preserve"> ugovor o balansnoj odgovornosti sa BOS-om: </w:t>
      </w:r>
    </w:p>
    <w:p w14:paraId="6C51B2DF" w14:textId="77777777" w:rsidR="004C6387" w:rsidRDefault="004C6387" w:rsidP="005E19E7">
      <w:pPr>
        <w:pStyle w:val="Default"/>
        <w:jc w:val="both"/>
        <w:rPr>
          <w:sz w:val="23"/>
          <w:szCs w:val="23"/>
        </w:rPr>
      </w:pPr>
    </w:p>
    <w:p w14:paraId="1548125F" w14:textId="77777777" w:rsidR="00FD494C" w:rsidRDefault="00FD494C" w:rsidP="005E19E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kada BOS ne dostavi odgovarajući instrument obezbjeđenja plaćanja u pogledu roka važenja i iznosa određenih ugovorom o balansnoj odgovornosti </w:t>
      </w:r>
    </w:p>
    <w:p w14:paraId="08F575A5" w14:textId="77777777" w:rsidR="00FD494C" w:rsidRDefault="00FD494C" w:rsidP="005E19E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kada je pokrenut postupak stečaja ili likvidacije BOS-a </w:t>
      </w:r>
    </w:p>
    <w:p w14:paraId="4BAEF815" w14:textId="77777777" w:rsidR="005E19E7" w:rsidRDefault="00FD494C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kada BOS ne izvršava obaveze iz </w:t>
      </w:r>
      <w:r w:rsidR="004C6387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odgovornosti. </w:t>
      </w:r>
    </w:p>
    <w:p w14:paraId="12701FDD" w14:textId="77777777" w:rsidR="005E19E7" w:rsidRDefault="005E19E7" w:rsidP="005E19E7">
      <w:pPr>
        <w:pStyle w:val="Default"/>
        <w:jc w:val="both"/>
        <w:rPr>
          <w:sz w:val="23"/>
          <w:szCs w:val="23"/>
        </w:rPr>
      </w:pPr>
    </w:p>
    <w:p w14:paraId="728319C7" w14:textId="77777777" w:rsidR="002016DA" w:rsidRPr="005B0723" w:rsidRDefault="001D55C6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Tokom trajanja ovog ugovora </w:t>
      </w:r>
      <w:r w:rsidR="002016DA">
        <w:rPr>
          <w:sz w:val="23"/>
          <w:szCs w:val="23"/>
        </w:rPr>
        <w:t xml:space="preserve">BOS u svakom trenutku </w:t>
      </w:r>
      <w:r>
        <w:rPr>
          <w:sz w:val="23"/>
          <w:szCs w:val="23"/>
        </w:rPr>
        <w:t xml:space="preserve">treba </w:t>
      </w:r>
      <w:r w:rsidR="002016DA">
        <w:rPr>
          <w:sz w:val="23"/>
          <w:szCs w:val="23"/>
        </w:rPr>
        <w:t xml:space="preserve">posjedovati sve potrebne dozvole nadležnih institucija, licence ili saglasnosti za ispunjenje ovdje navedenih obaveza ili prava propisanih ovim </w:t>
      </w:r>
      <w:r>
        <w:rPr>
          <w:sz w:val="23"/>
          <w:szCs w:val="23"/>
        </w:rPr>
        <w:t>u</w:t>
      </w:r>
      <w:r w:rsidR="002016DA">
        <w:rPr>
          <w:sz w:val="23"/>
          <w:szCs w:val="23"/>
        </w:rPr>
        <w:t xml:space="preserve">govorom, za ili u ime BOS-a. Ako u bilo kojem trenutku za vrijeme trajanja ovog </w:t>
      </w:r>
      <w:r>
        <w:rPr>
          <w:sz w:val="23"/>
          <w:szCs w:val="23"/>
        </w:rPr>
        <w:t>u</w:t>
      </w:r>
      <w:r w:rsidR="002016DA">
        <w:rPr>
          <w:sz w:val="23"/>
          <w:szCs w:val="23"/>
        </w:rPr>
        <w:t>govora, neka od dozvola, licenca ili odobrenje prestane važiti i/ili se povuče, NOS</w:t>
      </w:r>
      <w:r w:rsidR="00E43350">
        <w:rPr>
          <w:sz w:val="23"/>
          <w:szCs w:val="23"/>
        </w:rPr>
        <w:t>B</w:t>
      </w:r>
      <w:r w:rsidR="00F01678">
        <w:rPr>
          <w:sz w:val="23"/>
          <w:szCs w:val="23"/>
        </w:rPr>
        <w:t>i</w:t>
      </w:r>
      <w:r w:rsidR="00E43350">
        <w:rPr>
          <w:sz w:val="23"/>
          <w:szCs w:val="23"/>
        </w:rPr>
        <w:t>H</w:t>
      </w:r>
      <w:r w:rsidR="002016DA">
        <w:rPr>
          <w:sz w:val="23"/>
          <w:szCs w:val="23"/>
        </w:rPr>
        <w:t xml:space="preserve"> može odmah jednostrano raskinuti ovaj Ugovor.</w:t>
      </w:r>
    </w:p>
    <w:p w14:paraId="2A80E5D9" w14:textId="77777777" w:rsidR="002016DA" w:rsidRDefault="002016DA" w:rsidP="00B242B0">
      <w:pPr>
        <w:pStyle w:val="Default"/>
        <w:jc w:val="both"/>
        <w:rPr>
          <w:sz w:val="23"/>
          <w:szCs w:val="23"/>
        </w:rPr>
      </w:pPr>
    </w:p>
    <w:p w14:paraId="2DFE87BB" w14:textId="77777777" w:rsidR="002016DA" w:rsidRDefault="002016DA" w:rsidP="00B242B0">
      <w:pPr>
        <w:pStyle w:val="Default"/>
        <w:jc w:val="both"/>
        <w:rPr>
          <w:sz w:val="23"/>
          <w:szCs w:val="23"/>
        </w:rPr>
      </w:pPr>
    </w:p>
    <w:p w14:paraId="18A9D8DE" w14:textId="77777777" w:rsidR="00FD494C" w:rsidRDefault="00F01678" w:rsidP="00B242B0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NOSBiH </w:t>
      </w:r>
      <w:r w:rsidR="00FD494C">
        <w:rPr>
          <w:sz w:val="23"/>
          <w:szCs w:val="23"/>
        </w:rPr>
        <w:t>će, nakon što BOS-u uputi upozorenje o neizvršavanju obaveza, ostaviti dodatni rok, ne duži od 5 radnih dana, da BOS otkloni ili ispravi propuste nastale neispunjavanjem obaveza iz ugovora o balansnoj odgovornosti. Ukoliko BOS u dodatnom roku ne izvrši sve svoje obaveze, ugovor se smatra raskinutim od prvog kalendarskog dana mjeseca</w:t>
      </w:r>
      <w:r w:rsidR="001D55C6">
        <w:rPr>
          <w:sz w:val="23"/>
          <w:szCs w:val="23"/>
        </w:rPr>
        <w:t xml:space="preserve"> koji slijedi</w:t>
      </w:r>
      <w:r w:rsidR="00FD494C">
        <w:rPr>
          <w:sz w:val="23"/>
          <w:szCs w:val="23"/>
        </w:rPr>
        <w:t xml:space="preserve"> </w:t>
      </w:r>
      <w:r w:rsidR="00FD494C">
        <w:rPr>
          <w:color w:val="auto"/>
          <w:sz w:val="23"/>
          <w:szCs w:val="23"/>
        </w:rPr>
        <w:t xml:space="preserve">nakon dana isteka dodatnog roka za izvršenje obaveza. BOS u ovom slučaju ima sva prava i obaveze iz ugovora do datuma </w:t>
      </w:r>
      <w:r w:rsidR="001D55C6">
        <w:rPr>
          <w:color w:val="auto"/>
          <w:sz w:val="23"/>
          <w:szCs w:val="23"/>
        </w:rPr>
        <w:t xml:space="preserve">od kojeg </w:t>
      </w:r>
      <w:r w:rsidR="00FD494C">
        <w:rPr>
          <w:color w:val="auto"/>
          <w:sz w:val="23"/>
          <w:szCs w:val="23"/>
        </w:rPr>
        <w:t xml:space="preserve">se ugovor smatra raskinutim. </w:t>
      </w:r>
    </w:p>
    <w:p w14:paraId="46F17E83" w14:textId="77777777" w:rsidR="006808E7" w:rsidRDefault="006808E7" w:rsidP="006808E7">
      <w:pPr>
        <w:pStyle w:val="Default"/>
        <w:jc w:val="both"/>
        <w:rPr>
          <w:color w:val="auto"/>
          <w:sz w:val="23"/>
          <w:szCs w:val="23"/>
        </w:rPr>
      </w:pPr>
    </w:p>
    <w:p w14:paraId="398F3478" w14:textId="77777777" w:rsidR="009520D1" w:rsidRDefault="009520D1" w:rsidP="006808E7">
      <w:pPr>
        <w:pStyle w:val="Default"/>
        <w:jc w:val="center"/>
        <w:rPr>
          <w:b/>
          <w:color w:val="auto"/>
          <w:sz w:val="23"/>
          <w:szCs w:val="23"/>
        </w:rPr>
      </w:pPr>
    </w:p>
    <w:p w14:paraId="45DCA102" w14:textId="77777777" w:rsidR="006808E7" w:rsidRPr="006808E7" w:rsidRDefault="006808E7" w:rsidP="006808E7">
      <w:pPr>
        <w:pStyle w:val="Default"/>
        <w:jc w:val="center"/>
        <w:rPr>
          <w:b/>
          <w:color w:val="auto"/>
          <w:sz w:val="23"/>
          <w:szCs w:val="23"/>
        </w:rPr>
      </w:pPr>
      <w:r w:rsidRPr="006808E7">
        <w:rPr>
          <w:b/>
          <w:color w:val="auto"/>
          <w:sz w:val="23"/>
          <w:szCs w:val="23"/>
        </w:rPr>
        <w:t xml:space="preserve">Član </w:t>
      </w:r>
      <w:r w:rsidR="00DC1468">
        <w:rPr>
          <w:b/>
          <w:color w:val="auto"/>
          <w:sz w:val="23"/>
          <w:szCs w:val="23"/>
        </w:rPr>
        <w:t>17.</w:t>
      </w:r>
    </w:p>
    <w:p w14:paraId="3C199328" w14:textId="77777777" w:rsidR="006808E7" w:rsidRDefault="006808E7" w:rsidP="006808E7">
      <w:pPr>
        <w:pStyle w:val="Default"/>
        <w:jc w:val="both"/>
        <w:rPr>
          <w:color w:val="auto"/>
          <w:sz w:val="23"/>
          <w:szCs w:val="23"/>
        </w:rPr>
      </w:pPr>
    </w:p>
    <w:p w14:paraId="3C2F3FAC" w14:textId="77777777" w:rsidR="00FD494C" w:rsidRDefault="00FD494C" w:rsidP="00FD49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 slučaju raskida ugovora o balansnoj odgovornosti </w:t>
      </w:r>
      <w:r w:rsidR="00A772FE">
        <w:rPr>
          <w:color w:val="auto"/>
          <w:sz w:val="23"/>
          <w:szCs w:val="23"/>
        </w:rPr>
        <w:t>NOSB</w:t>
      </w:r>
      <w:r w:rsidR="00F01678">
        <w:rPr>
          <w:color w:val="auto"/>
          <w:sz w:val="23"/>
          <w:szCs w:val="23"/>
        </w:rPr>
        <w:t>i</w:t>
      </w:r>
      <w:r w:rsidR="00A772FE">
        <w:rPr>
          <w:color w:val="auto"/>
          <w:sz w:val="23"/>
          <w:szCs w:val="23"/>
        </w:rPr>
        <w:t>H</w:t>
      </w:r>
      <w:r>
        <w:rPr>
          <w:color w:val="auto"/>
          <w:sz w:val="23"/>
          <w:szCs w:val="23"/>
        </w:rPr>
        <w:t xml:space="preserve"> će o tome obavijestiti: </w:t>
      </w:r>
    </w:p>
    <w:p w14:paraId="7BAA70AA" w14:textId="77777777" w:rsidR="00FD494C" w:rsidRDefault="00FD494C" w:rsidP="00FD494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BOS na koji se odnosi raskid ugovora </w:t>
      </w:r>
    </w:p>
    <w:p w14:paraId="54B11907" w14:textId="77777777" w:rsidR="00FD494C" w:rsidRDefault="00FD494C" w:rsidP="00FD494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učesnike na tržištu u sastavu balansne grupe za koju je BOS balansno odgovoran </w:t>
      </w:r>
    </w:p>
    <w:p w14:paraId="2919F158" w14:textId="77777777" w:rsidR="00FD494C" w:rsidRDefault="00FD494C" w:rsidP="00FD49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sve ostale registrovane BOS-ove. </w:t>
      </w:r>
    </w:p>
    <w:p w14:paraId="634C819A" w14:textId="77777777" w:rsidR="00FD494C" w:rsidRDefault="00FD494C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</w:p>
    <w:p w14:paraId="0914D979" w14:textId="77777777" w:rsidR="006D5B0A" w:rsidRPr="009520D1" w:rsidRDefault="006D5B0A" w:rsidP="00AF2AF1">
      <w:pPr>
        <w:pStyle w:val="EBRD-Titololotto"/>
        <w:tabs>
          <w:tab w:val="left" w:pos="720"/>
        </w:tabs>
        <w:rPr>
          <w:rFonts w:ascii="Times New Roman" w:hAnsi="Times New Roman"/>
          <w:caps w:val="0"/>
          <w:snapToGrid w:val="0"/>
          <w:lang w:val="hr-HR" w:eastAsia="en-US"/>
        </w:rPr>
      </w:pPr>
      <w:r w:rsidRPr="009520D1">
        <w:rPr>
          <w:rFonts w:ascii="Times New Roman" w:hAnsi="Times New Roman"/>
          <w:caps w:val="0"/>
          <w:snapToGrid w:val="0"/>
          <w:lang w:val="hr-HR" w:eastAsia="en-US"/>
        </w:rPr>
        <w:t>Član 18.</w:t>
      </w:r>
    </w:p>
    <w:p w14:paraId="7FE7B957" w14:textId="77777777" w:rsidR="006D5B0A" w:rsidRDefault="006D5B0A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Ako tok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om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trajanja ovog ugovora dođe do izmjene propisa koji mogu uti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cati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na 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njegovu 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validnost, ugovorne  strane će u najkra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ć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em roku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,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putem 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a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nexa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,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odredbe ovog ugovora 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uskladiti 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sa nastalim izmjenama.</w:t>
      </w:r>
    </w:p>
    <w:p w14:paraId="77BE3C42" w14:textId="77777777" w:rsidR="001D55C6" w:rsidRDefault="001D55C6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</w:p>
    <w:p w14:paraId="581AA158" w14:textId="77777777" w:rsidR="006D5B0A" w:rsidRPr="00FD494C" w:rsidRDefault="006D5B0A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Ako neki od članova postane nevažeći 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ili neprimjenjiv, a to </w:t>
      </w:r>
      <w:r w:rsidR="00B242B0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ne 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uti</w:t>
      </w:r>
      <w:r w:rsidR="00B242B0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č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e na punovažnost ostalih članova ovog ugovora, preostale odredbe ostaju na snazi.</w:t>
      </w:r>
    </w:p>
    <w:p w14:paraId="10AC8011" w14:textId="77777777" w:rsidR="0017639C" w:rsidRDefault="0017639C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44B9D083" w14:textId="77777777" w:rsidR="009520D1" w:rsidRDefault="009520D1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2780FE3E" w14:textId="77777777" w:rsidR="007B1E19" w:rsidRPr="00075B48" w:rsidRDefault="007B1E19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Član </w:t>
      </w:r>
      <w:r w:rsidR="0017639C"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1</w:t>
      </w:r>
      <w:r w:rsidR="0017639C">
        <w:rPr>
          <w:rFonts w:ascii="Times New Roman" w:eastAsia="Times New Roman" w:hAnsi="Times New Roman"/>
          <w:b/>
          <w:sz w:val="24"/>
          <w:szCs w:val="20"/>
          <w:lang w:val="hr-BA"/>
        </w:rPr>
        <w:t>9</w:t>
      </w: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.</w:t>
      </w:r>
    </w:p>
    <w:p w14:paraId="1AA66366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7C3FEF7B" w14:textId="77777777" w:rsidR="007B1E19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lastRenderedPageBreak/>
        <w:t xml:space="preserve">Ovaj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 xml:space="preserve">govor stupa na snagu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nakon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potpis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a</w:t>
      </w:r>
      <w:r w:rsidR="00075B48">
        <w:rPr>
          <w:rFonts w:ascii="Times New Roman" w:eastAsia="Times New Roman" w:hAnsi="Times New Roman"/>
          <w:sz w:val="24"/>
          <w:szCs w:val="20"/>
          <w:lang w:val="hr-BA"/>
        </w:rPr>
        <w:t xml:space="preserve"> obiju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>govornih strana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i dostav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>l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>janj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a</w:t>
      </w:r>
      <w:r w:rsidR="00B531EF">
        <w:rPr>
          <w:rFonts w:ascii="Times New Roman" w:eastAsia="Times New Roman" w:hAnsi="Times New Roman"/>
          <w:sz w:val="24"/>
          <w:szCs w:val="20"/>
          <w:lang w:val="hr-BA"/>
        </w:rPr>
        <w:t xml:space="preserve"> instrumenta obezbjeđenja plaćanja 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 xml:space="preserve">navedenih u 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>član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 xml:space="preserve"> 9.</w:t>
      </w:r>
      <w:r w:rsidR="00DC1468" w:rsidRPr="00075B48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3BD34110" w14:textId="77777777" w:rsidR="0017639C" w:rsidRDefault="0017639C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3273D48F" w14:textId="77777777" w:rsidR="0017639C" w:rsidRPr="00075B48" w:rsidRDefault="0017639C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20AE524F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5A986ACD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24462CF7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3337C830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7E07A5B6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066D33E0" w14:textId="77777777" w:rsidR="007B1E19" w:rsidRDefault="0017639C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AF2AF1">
        <w:rPr>
          <w:rFonts w:ascii="Times New Roman" w:eastAsia="Times New Roman" w:hAnsi="Times New Roman"/>
          <w:b/>
          <w:sz w:val="24"/>
          <w:szCs w:val="20"/>
          <w:lang w:val="hr-BA"/>
        </w:rPr>
        <w:t>Član 20.</w:t>
      </w:r>
    </w:p>
    <w:p w14:paraId="266BDC7D" w14:textId="77777777" w:rsidR="0017639C" w:rsidRPr="00AF2AF1" w:rsidRDefault="0017639C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12F65F29" w14:textId="77777777" w:rsidR="0017639C" w:rsidRDefault="0017639C" w:rsidP="00176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>
        <w:rPr>
          <w:rFonts w:ascii="Times New Roman" w:eastAsia="Times New Roman" w:hAnsi="Times New Roman"/>
          <w:sz w:val="24"/>
          <w:szCs w:val="20"/>
          <w:lang w:val="hr-BA"/>
        </w:rPr>
        <w:t xml:space="preserve"> Sve izmjene ovog ugovora ugovorne strane će zaključiti u pismenoj formu putem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 xml:space="preserve"> odgovarajućih</w:t>
      </w:r>
      <w:r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>a</w:t>
      </w:r>
      <w:r>
        <w:rPr>
          <w:rFonts w:ascii="Times New Roman" w:eastAsia="Times New Roman" w:hAnsi="Times New Roman"/>
          <w:sz w:val="24"/>
          <w:szCs w:val="20"/>
          <w:lang w:val="hr-BA"/>
        </w:rPr>
        <w:t>nexa.</w:t>
      </w:r>
    </w:p>
    <w:p w14:paraId="10AD60C5" w14:textId="77777777" w:rsidR="0017639C" w:rsidRPr="00075B48" w:rsidRDefault="0017639C" w:rsidP="00176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66613DF" w14:textId="77777777" w:rsidR="009520D1" w:rsidRDefault="009520D1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75153597" w14:textId="77777777" w:rsidR="007B1E19" w:rsidRPr="00075B48" w:rsidRDefault="007B1E19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Član </w:t>
      </w:r>
      <w:r w:rsidR="0017639C">
        <w:rPr>
          <w:rFonts w:ascii="Times New Roman" w:eastAsia="Times New Roman" w:hAnsi="Times New Roman"/>
          <w:b/>
          <w:sz w:val="24"/>
          <w:szCs w:val="20"/>
          <w:lang w:val="hr-BA"/>
        </w:rPr>
        <w:t>21</w:t>
      </w: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.</w:t>
      </w:r>
    </w:p>
    <w:p w14:paraId="49B5CB0E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5E3BB2D3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Ovaj Ugovor je sačinjen u četiri (4) primjeraka od kojih svaka ugovorna strana zadržava po dva (2).</w:t>
      </w:r>
    </w:p>
    <w:p w14:paraId="33482138" w14:textId="77777777" w:rsidR="00200849" w:rsidRPr="00075B48" w:rsidRDefault="00200849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12F2FA4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A439FAA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4F51049D" w14:textId="77777777" w:rsidR="004E603B" w:rsidRPr="00075B48" w:rsidRDefault="005C33FA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       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ZA </w:t>
      </w:r>
      <w:r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BOS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:                                                               ZA </w:t>
      </w:r>
      <w:r w:rsidR="00A772FE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NOSB</w:t>
      </w:r>
      <w:r w:rsidR="00F0167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i</w:t>
      </w:r>
      <w:r w:rsidR="00A772FE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H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:</w:t>
      </w:r>
    </w:p>
    <w:p w14:paraId="722ADC4A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7151FA3E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   Direktor    </w:t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  <w:t xml:space="preserve">Generalni direktor          </w:t>
      </w:r>
    </w:p>
    <w:p w14:paraId="70FA03FF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</w:p>
    <w:p w14:paraId="427847FF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</w:p>
    <w:p w14:paraId="1B6ECCF1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04B90216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4891B2E0" w14:textId="77777777" w:rsidR="004E603B" w:rsidRPr="00075B48" w:rsidRDefault="000B50BC" w:rsidP="000B50BC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Datum :                                                                                     Datum :              </w:t>
      </w:r>
    </w:p>
    <w:p w14:paraId="18880DA6" w14:textId="77777777" w:rsidR="004E603B" w:rsidRPr="00075B48" w:rsidRDefault="004A51E0" w:rsidP="004A51E0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>Broj: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  <w:t xml:space="preserve">                                         </w:t>
      </w:r>
      <w:r w:rsidR="000B50BC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Broj:                  </w:t>
      </w:r>
    </w:p>
    <w:p w14:paraId="36805DB7" w14:textId="77777777" w:rsidR="004E603B" w:rsidRPr="00075B48" w:rsidRDefault="004E603B" w:rsidP="004E6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75980919" w14:textId="77777777" w:rsidR="004E603B" w:rsidRPr="00075B48" w:rsidRDefault="004E603B" w:rsidP="004E60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4A1F931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4E1C968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4F8773E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B0364E8" w14:textId="77777777" w:rsidR="00B1675D" w:rsidRDefault="00B1675D" w:rsidP="00B167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</w:p>
    <w:p w14:paraId="2C42FAE3" w14:textId="77777777" w:rsidR="00A637D2" w:rsidRDefault="00304B78" w:rsidP="00304B7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</w:t>
      </w:r>
    </w:p>
    <w:p w14:paraId="209FB1CE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2974EF6C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611D5EF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548E12D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7F373C3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21ACAF6C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8D282D2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3EF1A228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56E6B9B6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6C6F6B82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97C45C1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F8CA366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5165794A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3CEAE1D3" w14:textId="77777777" w:rsidR="00304B78" w:rsidRDefault="00304B78" w:rsidP="00767D1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NAZIV I LOGO BANKE</w:t>
      </w:r>
    </w:p>
    <w:p w14:paraId="19E6429B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 </w:t>
      </w:r>
    </w:p>
    <w:p w14:paraId="3195FDD1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GARANCIJA PO OSNOVU UGOVORA O BALANSNOJ ODGOVORNOSTI</w:t>
      </w:r>
    </w:p>
    <w:p w14:paraId="6236F5AB" w14:textId="77777777" w:rsidR="00304B78" w:rsidRDefault="00304B78" w:rsidP="00304B78">
      <w:pPr>
        <w:pStyle w:val="Default"/>
        <w:rPr>
          <w:b/>
          <w:bCs/>
          <w:sz w:val="23"/>
          <w:szCs w:val="23"/>
        </w:rPr>
      </w:pPr>
    </w:p>
    <w:p w14:paraId="717B8A8B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Datum: </w:t>
      </w:r>
    </w:p>
    <w:p w14:paraId="2B7EE624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Nezavisni operator sistema u Bosni i Hercegovini </w:t>
      </w:r>
    </w:p>
    <w:p w14:paraId="3E4FBF6E" w14:textId="77777777" w:rsidR="00304B78" w:rsidRDefault="00304B78" w:rsidP="00304B78">
      <w:pPr>
        <w:pStyle w:val="Default"/>
        <w:rPr>
          <w:sz w:val="23"/>
          <w:szCs w:val="23"/>
        </w:rPr>
      </w:pPr>
    </w:p>
    <w:p w14:paraId="146FBC53" w14:textId="77777777" w:rsidR="00304B78" w:rsidRPr="00AF3BAD" w:rsidRDefault="00304B78" w:rsidP="00304B78">
      <w:pPr>
        <w:pStyle w:val="Default"/>
        <w:jc w:val="both"/>
        <w:rPr>
          <w:b/>
          <w:bCs/>
        </w:rPr>
      </w:pPr>
      <w:r w:rsidRPr="00AF3BAD">
        <w:t xml:space="preserve">Informisani smo da je naš klijent, kao </w:t>
      </w:r>
      <w:r w:rsidR="009520D1">
        <w:t>b</w:t>
      </w:r>
      <w:r w:rsidRPr="00AF3BAD">
        <w:t xml:space="preserve">alansno odgovorna strana __________, po osnovu Ugovora o balansnoj odgovornosti </w:t>
      </w:r>
      <w:r w:rsidR="009563A9" w:rsidRPr="000F16C8">
        <w:rPr>
          <w:color w:val="auto"/>
        </w:rPr>
        <w:t xml:space="preserve">br.______________ </w:t>
      </w:r>
      <w:r w:rsidRPr="00AF3BAD">
        <w:t>zaključenog</w:t>
      </w:r>
      <w:r>
        <w:t xml:space="preserve"> sa Nezavisnim operatorom s</w:t>
      </w:r>
      <w:r w:rsidRPr="00AF3BAD">
        <w:t xml:space="preserve">istema u Bosni i Hercegovini dana__________(u daljem tekstu: Ugovor) od sad pa nadalje označen kao BOS________________, obavezan da dostavi bankarsku garanciju na ime obezbjeđenja plaćanja (u daljem tekstu: </w:t>
      </w:r>
      <w:r w:rsidR="009520D1">
        <w:t>g</w:t>
      </w:r>
      <w:r w:rsidRPr="00AF3BAD">
        <w:t>arancija).</w:t>
      </w:r>
      <w:r w:rsidRPr="00AF3BAD">
        <w:rPr>
          <w:b/>
          <w:bCs/>
        </w:rPr>
        <w:t xml:space="preserve"> </w:t>
      </w:r>
    </w:p>
    <w:p w14:paraId="1D987C12" w14:textId="77777777" w:rsidR="00304B78" w:rsidRPr="00AF3BAD" w:rsidRDefault="00304B78" w:rsidP="00304B78">
      <w:pPr>
        <w:pStyle w:val="Default"/>
      </w:pPr>
    </w:p>
    <w:p w14:paraId="7DDC6FB0" w14:textId="77777777" w:rsidR="00304B78" w:rsidRPr="00AF3BAD" w:rsidRDefault="00304B78" w:rsidP="00304B78">
      <w:pPr>
        <w:pStyle w:val="Default"/>
        <w:jc w:val="both"/>
      </w:pPr>
      <w:r w:rsidRPr="00AF3BAD">
        <w:t xml:space="preserve">Visina </w:t>
      </w:r>
      <w:r w:rsidR="009520D1">
        <w:t>g</w:t>
      </w:r>
      <w:r w:rsidRPr="00AF3BAD">
        <w:t>arancije po osnovu Ugovora iznosi______________KM.</w:t>
      </w:r>
    </w:p>
    <w:p w14:paraId="0CB5B923" w14:textId="77777777" w:rsidR="00304B78" w:rsidRPr="00AF3BAD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Visina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>arancije određena je u skladu sa članom 6. Ugovora.</w:t>
      </w:r>
    </w:p>
    <w:p w14:paraId="328C337B" w14:textId="77777777" w:rsidR="00304B78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79FBF43" w14:textId="77777777" w:rsidR="009563A9" w:rsidRPr="00AF3BAD" w:rsidRDefault="009563A9" w:rsidP="0095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Nezavisni operator sistema u Bosni i Hercegovini će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aranciju </w:t>
      </w:r>
      <w:r w:rsidR="009520D1" w:rsidRPr="00AF3BAD">
        <w:rPr>
          <w:rFonts w:ascii="Times New Roman" w:hAnsi="Times New Roman"/>
          <w:sz w:val="24"/>
          <w:szCs w:val="24"/>
          <w:lang w:val="hr-BA"/>
        </w:rPr>
        <w:t xml:space="preserve">aktivirati </w:t>
      </w:r>
      <w:r w:rsidRPr="00AF3BAD">
        <w:rPr>
          <w:rFonts w:ascii="Times New Roman" w:hAnsi="Times New Roman"/>
          <w:sz w:val="24"/>
          <w:szCs w:val="24"/>
          <w:lang w:val="hr-BA"/>
        </w:rPr>
        <w:t>u slučaju neispunjenja obaveza koje se odnose na plaćanja predviđena Ugovorom.</w:t>
      </w:r>
    </w:p>
    <w:p w14:paraId="5679556A" w14:textId="77777777" w:rsidR="009563A9" w:rsidRPr="00AF3BAD" w:rsidRDefault="009563A9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7CEA8D1" w14:textId="77777777" w:rsidR="00183A56" w:rsidRPr="005E19E7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BOS______________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aranciju </w:t>
      </w:r>
      <w:r w:rsidR="009520D1" w:rsidRPr="00AF3BAD">
        <w:rPr>
          <w:rFonts w:ascii="Times New Roman" w:hAnsi="Times New Roman"/>
          <w:sz w:val="24"/>
          <w:szCs w:val="24"/>
          <w:lang w:val="hr-BA"/>
        </w:rPr>
        <w:t xml:space="preserve">obezbjeđuje 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za cijeli period važenja Ugovora, u intervalima od jedne godine. </w:t>
      </w:r>
      <w:r w:rsidR="00183A56" w:rsidRPr="005E19E7">
        <w:rPr>
          <w:rFonts w:ascii="Times New Roman" w:hAnsi="Times New Roman"/>
          <w:sz w:val="24"/>
          <w:szCs w:val="24"/>
          <w:lang w:val="hr-BA"/>
        </w:rPr>
        <w:t>Ukoliko se garancija iskoristi jednokratno u punom iznosu, BOS</w:t>
      </w:r>
      <w:r w:rsidR="00AE7021" w:rsidRPr="005E19E7">
        <w:rPr>
          <w:rFonts w:ascii="Times New Roman" w:hAnsi="Times New Roman"/>
          <w:sz w:val="24"/>
          <w:szCs w:val="24"/>
          <w:lang w:val="hr-BA"/>
        </w:rPr>
        <w:t xml:space="preserve"> automatski obezbijeđuje novu garanciju</w:t>
      </w:r>
      <w:r w:rsidR="00183A56" w:rsidRPr="005E19E7">
        <w:rPr>
          <w:rFonts w:ascii="Times New Roman" w:hAnsi="Times New Roman"/>
          <w:sz w:val="24"/>
          <w:szCs w:val="24"/>
          <w:lang w:val="hr-BA"/>
        </w:rPr>
        <w:t>. Ukoliko se garancija iskoristi samo djelimično, banka treba da izvrši povrat originalne garancije sa naznakom iznosa protesta.</w:t>
      </w:r>
    </w:p>
    <w:p w14:paraId="1E2EFD38" w14:textId="77777777" w:rsidR="00304B78" w:rsidRPr="005E19E7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BB51607" w14:textId="77777777" w:rsidR="00183A56" w:rsidRDefault="00304B78" w:rsidP="00304B78">
      <w:pPr>
        <w:pStyle w:val="Default"/>
        <w:jc w:val="both"/>
      </w:pPr>
      <w:r w:rsidRPr="00AF3BAD">
        <w:t xml:space="preserve">U skladu sa naprijed </w:t>
      </w:r>
      <w:r>
        <w:t>navedenim, ______________(ime,</w:t>
      </w:r>
      <w:r w:rsidRPr="00AF3BAD">
        <w:t xml:space="preserve"> adresa</w:t>
      </w:r>
      <w:r>
        <w:t xml:space="preserve"> i SWIFT</w:t>
      </w:r>
      <w:r w:rsidRPr="00AF3BAD">
        <w:t xml:space="preserve"> banke</w:t>
      </w:r>
      <w:r>
        <w:t>), se obavezuje neopozivo i bez</w:t>
      </w:r>
      <w:r w:rsidRPr="00AF3BAD">
        <w:t xml:space="preserve">uslovno platiti na </w:t>
      </w:r>
      <w:r>
        <w:t xml:space="preserve">Ugovorom </w:t>
      </w:r>
      <w:r w:rsidRPr="00AF3BAD">
        <w:t>naznačeni bankovni raču</w:t>
      </w:r>
      <w:r>
        <w:t xml:space="preserve">n gore </w:t>
      </w:r>
      <w:r w:rsidR="009520D1">
        <w:t>naznačeni iznos</w:t>
      </w:r>
      <w:r w:rsidR="00FF0292">
        <w:t xml:space="preserve"> </w:t>
      </w:r>
      <w:r w:rsidR="009520D1">
        <w:t>g</w:t>
      </w:r>
      <w:r>
        <w:t xml:space="preserve">arancije </w:t>
      </w:r>
      <w:r w:rsidRPr="00AF3BAD">
        <w:t xml:space="preserve">u roku od tri radna dana po prijemu </w:t>
      </w:r>
      <w:r w:rsidR="009520D1">
        <w:t>V</w:t>
      </w:r>
      <w:r w:rsidRPr="00AF3BAD">
        <w:t xml:space="preserve">ašeg pisanog zahtjeva, a koji sadrži </w:t>
      </w:r>
      <w:r w:rsidR="009520D1">
        <w:t>V</w:t>
      </w:r>
      <w:r w:rsidRPr="00AF3BAD">
        <w:t xml:space="preserve">ašu izjavu da BOS________ ne ispunjava svoje obaveze koje se odnose na plaćanje Ugovorom. </w:t>
      </w:r>
    </w:p>
    <w:p w14:paraId="3D1AC55D" w14:textId="77777777" w:rsidR="00304B78" w:rsidRPr="00AF3BAD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7124AD0" w14:textId="77777777" w:rsidR="00304B78" w:rsidRPr="00F35CDF" w:rsidRDefault="00304B78" w:rsidP="00304B78">
      <w:pPr>
        <w:pStyle w:val="Default"/>
        <w:jc w:val="both"/>
        <w:rPr>
          <w:color w:val="auto"/>
        </w:rPr>
      </w:pPr>
      <w:r w:rsidRPr="00F35CDF">
        <w:rPr>
          <w:color w:val="auto"/>
        </w:rPr>
        <w:t xml:space="preserve">Vaš zahtjev za korištenje sredstava pod </w:t>
      </w:r>
      <w:r w:rsidR="009520D1" w:rsidRPr="00F35CDF">
        <w:rPr>
          <w:color w:val="auto"/>
        </w:rPr>
        <w:t>g</w:t>
      </w:r>
      <w:r w:rsidRPr="00F35CDF">
        <w:rPr>
          <w:color w:val="auto"/>
        </w:rPr>
        <w:t xml:space="preserve">arancijom prihvatljiv je ako </w:t>
      </w:r>
      <w:r w:rsidR="005C5B82" w:rsidRPr="00F35CDF">
        <w:rPr>
          <w:color w:val="auto"/>
        </w:rPr>
        <w:t>je poslan u potpunosti</w:t>
      </w:r>
      <w:r w:rsidR="009520D1" w:rsidRPr="00F35CDF">
        <w:rPr>
          <w:color w:val="auto"/>
        </w:rPr>
        <w:t xml:space="preserve"> </w:t>
      </w:r>
      <w:r w:rsidRPr="00F35CDF">
        <w:rPr>
          <w:color w:val="auto"/>
        </w:rPr>
        <w:t xml:space="preserve"> </w:t>
      </w:r>
      <w:r w:rsidR="00FF0292" w:rsidRPr="00F35CDF">
        <w:rPr>
          <w:color w:val="auto"/>
        </w:rPr>
        <w:t xml:space="preserve"> putem autentifikovane SWIFT poruke</w:t>
      </w:r>
      <w:r w:rsidR="005C5B82" w:rsidRPr="00F35CDF">
        <w:rPr>
          <w:color w:val="auto"/>
        </w:rPr>
        <w:t xml:space="preserve"> od </w:t>
      </w:r>
      <w:r w:rsidRPr="00F35CDF">
        <w:rPr>
          <w:color w:val="auto"/>
        </w:rPr>
        <w:t>Vaše bank</w:t>
      </w:r>
      <w:r w:rsidR="005C5B82" w:rsidRPr="00F35CDF">
        <w:rPr>
          <w:color w:val="auto"/>
        </w:rPr>
        <w:t>e</w:t>
      </w:r>
      <w:r w:rsidRPr="00F35CDF">
        <w:rPr>
          <w:color w:val="auto"/>
        </w:rPr>
        <w:t xml:space="preserve"> potvrđujući da je Vaš originalni zahtjev poslan i poštom </w:t>
      </w:r>
      <w:r w:rsidR="009520D1" w:rsidRPr="00F35CDF">
        <w:rPr>
          <w:color w:val="auto"/>
        </w:rPr>
        <w:t>te</w:t>
      </w:r>
      <w:r w:rsidRPr="00F35CDF">
        <w:rPr>
          <w:color w:val="auto"/>
        </w:rPr>
        <w:t xml:space="preserve"> da vas </w:t>
      </w:r>
      <w:r w:rsidR="009520D1" w:rsidRPr="00F35CDF">
        <w:rPr>
          <w:color w:val="auto"/>
        </w:rPr>
        <w:t>on</w:t>
      </w:r>
      <w:r w:rsidRPr="00F35CDF">
        <w:rPr>
          <w:color w:val="auto"/>
        </w:rPr>
        <w:t xml:space="preserve"> pravno obavezuje. Vaš zahtjev će biti razmotren i adresiran nakon </w:t>
      </w:r>
      <w:r w:rsidR="003F7426" w:rsidRPr="00F35CDF">
        <w:rPr>
          <w:color w:val="auto"/>
        </w:rPr>
        <w:t xml:space="preserve">što bude </w:t>
      </w:r>
      <w:r w:rsidRPr="00F35CDF">
        <w:rPr>
          <w:color w:val="auto"/>
        </w:rPr>
        <w:t>zaprim</w:t>
      </w:r>
      <w:r w:rsidR="003F7426" w:rsidRPr="00F35CDF">
        <w:rPr>
          <w:color w:val="auto"/>
        </w:rPr>
        <w:t>ljen</w:t>
      </w:r>
      <w:r w:rsidR="00052001" w:rsidRPr="00F35CDF">
        <w:rPr>
          <w:color w:val="auto"/>
        </w:rPr>
        <w:t xml:space="preserve"> kao</w:t>
      </w:r>
      <w:r w:rsidRPr="00F35CDF">
        <w:rPr>
          <w:color w:val="auto"/>
        </w:rPr>
        <w:t xml:space="preserve"> pisan</w:t>
      </w:r>
      <w:r w:rsidR="00052001" w:rsidRPr="00F35CDF">
        <w:rPr>
          <w:color w:val="auto"/>
        </w:rPr>
        <w:t>i</w:t>
      </w:r>
      <w:r w:rsidRPr="00F35CDF">
        <w:rPr>
          <w:color w:val="auto"/>
        </w:rPr>
        <w:t xml:space="preserve"> zahtjev za isplatu, poslanog telefaksom ili telegrafom</w:t>
      </w:r>
      <w:r w:rsidR="00FF0292" w:rsidRPr="00F35CDF">
        <w:rPr>
          <w:color w:val="auto"/>
        </w:rPr>
        <w:t>, odnosno SWIFT-om</w:t>
      </w:r>
      <w:r w:rsidRPr="00F35CDF">
        <w:rPr>
          <w:color w:val="auto"/>
        </w:rPr>
        <w:t xml:space="preserve"> na adresu:________________________________</w:t>
      </w:r>
    </w:p>
    <w:p w14:paraId="23CCF916" w14:textId="77777777" w:rsidR="00304B78" w:rsidRPr="00AF3BAD" w:rsidRDefault="00304B78" w:rsidP="00304B78">
      <w:pPr>
        <w:pStyle w:val="Default"/>
      </w:pPr>
    </w:p>
    <w:p w14:paraId="097C8D93" w14:textId="77777777" w:rsidR="00304B78" w:rsidRPr="00AF3BAD" w:rsidRDefault="00304B78" w:rsidP="00304B78">
      <w:pPr>
        <w:pStyle w:val="Default"/>
      </w:pPr>
      <w:r w:rsidRPr="00AF3BAD">
        <w:t xml:space="preserve">Garancija stupa na snagu ________________( navesti datum izdavanja garancije) </w:t>
      </w:r>
    </w:p>
    <w:p w14:paraId="0A4FE5F2" w14:textId="77777777" w:rsidR="00304B78" w:rsidRPr="00AF3BAD" w:rsidRDefault="00304B78" w:rsidP="00304B78">
      <w:pPr>
        <w:pStyle w:val="Default"/>
      </w:pPr>
    </w:p>
    <w:p w14:paraId="36352877" w14:textId="77777777" w:rsidR="00304B78" w:rsidRPr="00AF3BAD" w:rsidRDefault="00304B78" w:rsidP="00304B78">
      <w:pPr>
        <w:pStyle w:val="Default"/>
        <w:jc w:val="both"/>
      </w:pPr>
      <w:r w:rsidRPr="00AF3BAD">
        <w:t xml:space="preserve">Naša odgovornost prema ovoj garanciji ističe </w:t>
      </w:r>
      <w:r w:rsidR="00215A15">
        <w:t xml:space="preserve"> dana _______________</w:t>
      </w:r>
    </w:p>
    <w:p w14:paraId="305E35DF" w14:textId="77777777" w:rsidR="00304B78" w:rsidRPr="00AF3BAD" w:rsidRDefault="00304B78" w:rsidP="00304B78">
      <w:pPr>
        <w:pStyle w:val="Default"/>
      </w:pPr>
    </w:p>
    <w:p w14:paraId="29458148" w14:textId="77777777" w:rsidR="00304B78" w:rsidRPr="00AF3BAD" w:rsidRDefault="00304B78" w:rsidP="00304B78">
      <w:pPr>
        <w:pStyle w:val="Default"/>
        <w:jc w:val="both"/>
      </w:pPr>
      <w:r w:rsidRPr="00AF3BAD">
        <w:t>Poslije isteka naznačenog roka, garancija po automatizmu postaje nevažeća. Garancija bi</w:t>
      </w:r>
      <w:r w:rsidR="00052001">
        <w:t xml:space="preserve"> tada</w:t>
      </w:r>
      <w:r w:rsidRPr="00AF3BAD">
        <w:t xml:space="preserve"> trebala biti vraćena kao bespredmetna. Bez obzira da li će nam garancija biti vraćena, ili ne, nakon isteka pomenutog roka smatramo se oslobođenim svake obaveze po garanciji. </w:t>
      </w:r>
    </w:p>
    <w:p w14:paraId="6A7D75C1" w14:textId="77777777" w:rsidR="00304B78" w:rsidRPr="00AF3BAD" w:rsidRDefault="00304B78" w:rsidP="00304B78">
      <w:pPr>
        <w:pStyle w:val="Default"/>
      </w:pPr>
    </w:p>
    <w:p w14:paraId="6A1B5BB5" w14:textId="77777777" w:rsidR="00304B78" w:rsidRPr="00AF3BAD" w:rsidRDefault="00215A15" w:rsidP="00304B78">
      <w:pPr>
        <w:pStyle w:val="Default"/>
      </w:pPr>
      <w:r>
        <w:lastRenderedPageBreak/>
        <w:t xml:space="preserve">Ova </w:t>
      </w:r>
      <w:r w:rsidR="00052001">
        <w:t>g</w:t>
      </w:r>
      <w:r w:rsidR="00304B78" w:rsidRPr="00AF3BAD">
        <w:t xml:space="preserve">arancija je vaše lično pravo i ne može se prenositi. </w:t>
      </w:r>
    </w:p>
    <w:p w14:paraId="369A0C7D" w14:textId="77777777" w:rsidR="00304B78" w:rsidRPr="00AF3BAD" w:rsidRDefault="00304B78" w:rsidP="00304B78">
      <w:pPr>
        <w:pStyle w:val="Default"/>
      </w:pPr>
    </w:p>
    <w:p w14:paraId="4EDDFA2A" w14:textId="77777777" w:rsidR="00304B78" w:rsidRPr="00AF3BAD" w:rsidRDefault="00304B78" w:rsidP="00304B78">
      <w:pPr>
        <w:pStyle w:val="Default"/>
      </w:pPr>
      <w:r w:rsidRPr="00AF3BAD">
        <w:t xml:space="preserve">Potpis i pečat </w:t>
      </w:r>
    </w:p>
    <w:p w14:paraId="34D30688" w14:textId="77777777" w:rsidR="00304B78" w:rsidRPr="00AF3BAD" w:rsidRDefault="00304B78" w:rsidP="00304B78">
      <w:pPr>
        <w:rPr>
          <w:rFonts w:ascii="Times New Roman" w:hAnsi="Times New Roman"/>
          <w:sz w:val="24"/>
          <w:szCs w:val="24"/>
        </w:rPr>
      </w:pPr>
      <w:r w:rsidRPr="00AF3BAD">
        <w:rPr>
          <w:rFonts w:ascii="Times New Roman" w:hAnsi="Times New Roman"/>
          <w:sz w:val="24"/>
          <w:szCs w:val="24"/>
        </w:rPr>
        <w:t>(BANKA)</w:t>
      </w:r>
    </w:p>
    <w:p w14:paraId="1EAE711D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53639FB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C5B20DC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F08671F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4068E9E0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3E11982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D9C4F9E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0A72D80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8895DD2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68E0FE5A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A8AC453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89A60C5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57F3D62" w14:textId="77777777" w:rsidR="00B1675D" w:rsidRPr="00075B48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sectPr w:rsidR="00B1675D" w:rsidRPr="00075B48" w:rsidSect="00757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F4DC" w14:textId="77777777" w:rsidR="00C45350" w:rsidRDefault="00C45350" w:rsidP="002E6BA4">
      <w:pPr>
        <w:spacing w:after="0" w:line="240" w:lineRule="auto"/>
      </w:pPr>
      <w:r>
        <w:separator/>
      </w:r>
    </w:p>
  </w:endnote>
  <w:endnote w:type="continuationSeparator" w:id="0">
    <w:p w14:paraId="2FEBFEA8" w14:textId="77777777" w:rsidR="00C45350" w:rsidRDefault="00C45350" w:rsidP="002E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1F8A" w14:textId="77777777" w:rsidR="00C45350" w:rsidRDefault="00C45350" w:rsidP="002E6BA4">
      <w:pPr>
        <w:spacing w:after="0" w:line="240" w:lineRule="auto"/>
      </w:pPr>
      <w:r>
        <w:separator/>
      </w:r>
    </w:p>
  </w:footnote>
  <w:footnote w:type="continuationSeparator" w:id="0">
    <w:p w14:paraId="3B6F5EE2" w14:textId="77777777" w:rsidR="00C45350" w:rsidRDefault="00C45350" w:rsidP="002E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3FC"/>
    <w:multiLevelType w:val="hybridMultilevel"/>
    <w:tmpl w:val="E78EF5E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20E"/>
    <w:multiLevelType w:val="hybridMultilevel"/>
    <w:tmpl w:val="97AC2958"/>
    <w:lvl w:ilvl="0" w:tplc="4E5EC680">
      <w:start w:val="1"/>
      <w:numFmt w:val="decimal"/>
      <w:lvlText w:val="%1."/>
      <w:lvlJc w:val="left"/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DB7555E"/>
    <w:multiLevelType w:val="hybridMultilevel"/>
    <w:tmpl w:val="6BE803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786"/>
    <w:multiLevelType w:val="hybridMultilevel"/>
    <w:tmpl w:val="F43E8E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34FE"/>
    <w:multiLevelType w:val="hybridMultilevel"/>
    <w:tmpl w:val="654EFF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46E0F"/>
    <w:multiLevelType w:val="hybridMultilevel"/>
    <w:tmpl w:val="275EB2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7581"/>
    <w:multiLevelType w:val="hybridMultilevel"/>
    <w:tmpl w:val="63C623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404F2"/>
    <w:multiLevelType w:val="hybridMultilevel"/>
    <w:tmpl w:val="CD7ED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60E"/>
    <w:multiLevelType w:val="hybridMultilevel"/>
    <w:tmpl w:val="08560A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4FDA"/>
    <w:multiLevelType w:val="hybridMultilevel"/>
    <w:tmpl w:val="536011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6795">
    <w:abstractNumId w:val="1"/>
  </w:num>
  <w:num w:numId="2" w16cid:durableId="1911698228">
    <w:abstractNumId w:val="7"/>
  </w:num>
  <w:num w:numId="3" w16cid:durableId="559632224">
    <w:abstractNumId w:val="0"/>
  </w:num>
  <w:num w:numId="4" w16cid:durableId="1493905826">
    <w:abstractNumId w:val="2"/>
  </w:num>
  <w:num w:numId="5" w16cid:durableId="1365907667">
    <w:abstractNumId w:val="8"/>
  </w:num>
  <w:num w:numId="6" w16cid:durableId="154421095">
    <w:abstractNumId w:val="3"/>
  </w:num>
  <w:num w:numId="7" w16cid:durableId="1913003791">
    <w:abstractNumId w:val="9"/>
  </w:num>
  <w:num w:numId="8" w16cid:durableId="1141844777">
    <w:abstractNumId w:val="6"/>
  </w:num>
  <w:num w:numId="9" w16cid:durableId="1929845985">
    <w:abstractNumId w:val="4"/>
  </w:num>
  <w:num w:numId="10" w16cid:durableId="261914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1"/>
    <w:rsid w:val="00013D69"/>
    <w:rsid w:val="00032E50"/>
    <w:rsid w:val="00052001"/>
    <w:rsid w:val="00075B48"/>
    <w:rsid w:val="00082B2C"/>
    <w:rsid w:val="000A28A5"/>
    <w:rsid w:val="000B50BC"/>
    <w:rsid w:val="000C2254"/>
    <w:rsid w:val="000D6191"/>
    <w:rsid w:val="000F16C8"/>
    <w:rsid w:val="000F5000"/>
    <w:rsid w:val="00124EDC"/>
    <w:rsid w:val="00135A56"/>
    <w:rsid w:val="00141C48"/>
    <w:rsid w:val="00147E15"/>
    <w:rsid w:val="001622C5"/>
    <w:rsid w:val="00170791"/>
    <w:rsid w:val="00175C1F"/>
    <w:rsid w:val="0017639C"/>
    <w:rsid w:val="0018282A"/>
    <w:rsid w:val="00183A56"/>
    <w:rsid w:val="00196713"/>
    <w:rsid w:val="001D55C6"/>
    <w:rsid w:val="001D6F4C"/>
    <w:rsid w:val="001E0BEE"/>
    <w:rsid w:val="001E3538"/>
    <w:rsid w:val="001E3B58"/>
    <w:rsid w:val="001F7517"/>
    <w:rsid w:val="001F7C19"/>
    <w:rsid w:val="00200849"/>
    <w:rsid w:val="002016DA"/>
    <w:rsid w:val="0020788D"/>
    <w:rsid w:val="0021485E"/>
    <w:rsid w:val="00215A15"/>
    <w:rsid w:val="00226C01"/>
    <w:rsid w:val="00227587"/>
    <w:rsid w:val="00227C1E"/>
    <w:rsid w:val="00231506"/>
    <w:rsid w:val="00256E28"/>
    <w:rsid w:val="00264C79"/>
    <w:rsid w:val="002676DE"/>
    <w:rsid w:val="002742BC"/>
    <w:rsid w:val="00274A0A"/>
    <w:rsid w:val="00290EF4"/>
    <w:rsid w:val="002A2C46"/>
    <w:rsid w:val="002B291F"/>
    <w:rsid w:val="002B4337"/>
    <w:rsid w:val="002E16C9"/>
    <w:rsid w:val="002E50B2"/>
    <w:rsid w:val="002E6BA4"/>
    <w:rsid w:val="002F3DEF"/>
    <w:rsid w:val="00304B78"/>
    <w:rsid w:val="00305615"/>
    <w:rsid w:val="003162EE"/>
    <w:rsid w:val="00323D3D"/>
    <w:rsid w:val="003412E6"/>
    <w:rsid w:val="00355D3D"/>
    <w:rsid w:val="0036435B"/>
    <w:rsid w:val="00372780"/>
    <w:rsid w:val="00386DD0"/>
    <w:rsid w:val="003A2178"/>
    <w:rsid w:val="003A2424"/>
    <w:rsid w:val="003B7784"/>
    <w:rsid w:val="003C3D5E"/>
    <w:rsid w:val="003D38A5"/>
    <w:rsid w:val="003F7426"/>
    <w:rsid w:val="0040633A"/>
    <w:rsid w:val="00407097"/>
    <w:rsid w:val="00430529"/>
    <w:rsid w:val="00442617"/>
    <w:rsid w:val="004645C1"/>
    <w:rsid w:val="00464C98"/>
    <w:rsid w:val="00464D11"/>
    <w:rsid w:val="00480E31"/>
    <w:rsid w:val="00486FE9"/>
    <w:rsid w:val="004A51E0"/>
    <w:rsid w:val="004B266B"/>
    <w:rsid w:val="004B44B4"/>
    <w:rsid w:val="004B505F"/>
    <w:rsid w:val="004B6913"/>
    <w:rsid w:val="004B6F62"/>
    <w:rsid w:val="004C1680"/>
    <w:rsid w:val="004C6387"/>
    <w:rsid w:val="004D38B1"/>
    <w:rsid w:val="004D3900"/>
    <w:rsid w:val="004D6C8C"/>
    <w:rsid w:val="004E603B"/>
    <w:rsid w:val="004F2A77"/>
    <w:rsid w:val="004F54CA"/>
    <w:rsid w:val="00503FE2"/>
    <w:rsid w:val="005055F5"/>
    <w:rsid w:val="00514515"/>
    <w:rsid w:val="00514920"/>
    <w:rsid w:val="0051734E"/>
    <w:rsid w:val="00526B80"/>
    <w:rsid w:val="00570EAE"/>
    <w:rsid w:val="00575C97"/>
    <w:rsid w:val="00583B91"/>
    <w:rsid w:val="00590E80"/>
    <w:rsid w:val="005A0353"/>
    <w:rsid w:val="005C33FA"/>
    <w:rsid w:val="005C5B82"/>
    <w:rsid w:val="005D1A02"/>
    <w:rsid w:val="005E19E7"/>
    <w:rsid w:val="0060081A"/>
    <w:rsid w:val="00605683"/>
    <w:rsid w:val="00605F2C"/>
    <w:rsid w:val="00621342"/>
    <w:rsid w:val="00621751"/>
    <w:rsid w:val="00636E34"/>
    <w:rsid w:val="00647E41"/>
    <w:rsid w:val="00647EF6"/>
    <w:rsid w:val="00655330"/>
    <w:rsid w:val="006740A7"/>
    <w:rsid w:val="00674ACA"/>
    <w:rsid w:val="006808E7"/>
    <w:rsid w:val="0068299C"/>
    <w:rsid w:val="006A7BBD"/>
    <w:rsid w:val="006D4459"/>
    <w:rsid w:val="006D5B0A"/>
    <w:rsid w:val="006D5E9E"/>
    <w:rsid w:val="006E2FB0"/>
    <w:rsid w:val="006E6B38"/>
    <w:rsid w:val="00713AF3"/>
    <w:rsid w:val="007244D3"/>
    <w:rsid w:val="00744033"/>
    <w:rsid w:val="00757E11"/>
    <w:rsid w:val="00767D18"/>
    <w:rsid w:val="0077446B"/>
    <w:rsid w:val="00794AAF"/>
    <w:rsid w:val="007A25B7"/>
    <w:rsid w:val="007B1A53"/>
    <w:rsid w:val="007B1E19"/>
    <w:rsid w:val="007B26F5"/>
    <w:rsid w:val="007C74B3"/>
    <w:rsid w:val="007D3244"/>
    <w:rsid w:val="007E4374"/>
    <w:rsid w:val="007E4D98"/>
    <w:rsid w:val="007F2821"/>
    <w:rsid w:val="007F4760"/>
    <w:rsid w:val="008019AF"/>
    <w:rsid w:val="0081111E"/>
    <w:rsid w:val="00817157"/>
    <w:rsid w:val="00820A82"/>
    <w:rsid w:val="00832B85"/>
    <w:rsid w:val="008435F6"/>
    <w:rsid w:val="00843A6A"/>
    <w:rsid w:val="00872B68"/>
    <w:rsid w:val="008730F1"/>
    <w:rsid w:val="0088082C"/>
    <w:rsid w:val="008928FC"/>
    <w:rsid w:val="008A51D4"/>
    <w:rsid w:val="008A72E5"/>
    <w:rsid w:val="008C6403"/>
    <w:rsid w:val="008E0EE1"/>
    <w:rsid w:val="008E43EE"/>
    <w:rsid w:val="009057EF"/>
    <w:rsid w:val="009520D1"/>
    <w:rsid w:val="00952E3C"/>
    <w:rsid w:val="009543E1"/>
    <w:rsid w:val="009563A9"/>
    <w:rsid w:val="00974B58"/>
    <w:rsid w:val="009828D9"/>
    <w:rsid w:val="009A3531"/>
    <w:rsid w:val="009B5395"/>
    <w:rsid w:val="009B7B05"/>
    <w:rsid w:val="009C054A"/>
    <w:rsid w:val="009D0239"/>
    <w:rsid w:val="009D40EC"/>
    <w:rsid w:val="009E32DF"/>
    <w:rsid w:val="00A025E8"/>
    <w:rsid w:val="00A07B48"/>
    <w:rsid w:val="00A25FC2"/>
    <w:rsid w:val="00A33030"/>
    <w:rsid w:val="00A37BD8"/>
    <w:rsid w:val="00A637D2"/>
    <w:rsid w:val="00A772FE"/>
    <w:rsid w:val="00A91F5D"/>
    <w:rsid w:val="00A96169"/>
    <w:rsid w:val="00AE7021"/>
    <w:rsid w:val="00AE7B39"/>
    <w:rsid w:val="00AF2AF1"/>
    <w:rsid w:val="00B1675D"/>
    <w:rsid w:val="00B242B0"/>
    <w:rsid w:val="00B3234E"/>
    <w:rsid w:val="00B44306"/>
    <w:rsid w:val="00B527A3"/>
    <w:rsid w:val="00B531EF"/>
    <w:rsid w:val="00B64852"/>
    <w:rsid w:val="00B805D0"/>
    <w:rsid w:val="00BA1D12"/>
    <w:rsid w:val="00BA3BAB"/>
    <w:rsid w:val="00BB5D12"/>
    <w:rsid w:val="00BB6AFA"/>
    <w:rsid w:val="00BC12BF"/>
    <w:rsid w:val="00BD621C"/>
    <w:rsid w:val="00BE013C"/>
    <w:rsid w:val="00BF0C0B"/>
    <w:rsid w:val="00BF565E"/>
    <w:rsid w:val="00C04A10"/>
    <w:rsid w:val="00C2529C"/>
    <w:rsid w:val="00C3472B"/>
    <w:rsid w:val="00C42660"/>
    <w:rsid w:val="00C44370"/>
    <w:rsid w:val="00C45350"/>
    <w:rsid w:val="00C4547D"/>
    <w:rsid w:val="00C52438"/>
    <w:rsid w:val="00C73637"/>
    <w:rsid w:val="00C84D06"/>
    <w:rsid w:val="00C86CB8"/>
    <w:rsid w:val="00C872ED"/>
    <w:rsid w:val="00CC0261"/>
    <w:rsid w:val="00CD0606"/>
    <w:rsid w:val="00CF453B"/>
    <w:rsid w:val="00CF5794"/>
    <w:rsid w:val="00D00475"/>
    <w:rsid w:val="00D076AC"/>
    <w:rsid w:val="00D100E6"/>
    <w:rsid w:val="00D33036"/>
    <w:rsid w:val="00D3327B"/>
    <w:rsid w:val="00D54E90"/>
    <w:rsid w:val="00D578AA"/>
    <w:rsid w:val="00D61665"/>
    <w:rsid w:val="00D62555"/>
    <w:rsid w:val="00D62BC6"/>
    <w:rsid w:val="00DA4037"/>
    <w:rsid w:val="00DC1468"/>
    <w:rsid w:val="00DF0D3B"/>
    <w:rsid w:val="00DF1762"/>
    <w:rsid w:val="00E12B7C"/>
    <w:rsid w:val="00E358F1"/>
    <w:rsid w:val="00E37699"/>
    <w:rsid w:val="00E37CEC"/>
    <w:rsid w:val="00E41711"/>
    <w:rsid w:val="00E43350"/>
    <w:rsid w:val="00E53632"/>
    <w:rsid w:val="00E76191"/>
    <w:rsid w:val="00E96F01"/>
    <w:rsid w:val="00EC4316"/>
    <w:rsid w:val="00EC7BCC"/>
    <w:rsid w:val="00EE46BF"/>
    <w:rsid w:val="00F01678"/>
    <w:rsid w:val="00F07391"/>
    <w:rsid w:val="00F14451"/>
    <w:rsid w:val="00F167A5"/>
    <w:rsid w:val="00F350EB"/>
    <w:rsid w:val="00F35CDF"/>
    <w:rsid w:val="00F51611"/>
    <w:rsid w:val="00F52788"/>
    <w:rsid w:val="00F655D9"/>
    <w:rsid w:val="00F67F1A"/>
    <w:rsid w:val="00F719DF"/>
    <w:rsid w:val="00FA4F96"/>
    <w:rsid w:val="00FA5F01"/>
    <w:rsid w:val="00FB540C"/>
    <w:rsid w:val="00FC6E07"/>
    <w:rsid w:val="00FD1AF1"/>
    <w:rsid w:val="00FD494C"/>
    <w:rsid w:val="00FD7023"/>
    <w:rsid w:val="00FE20E0"/>
    <w:rsid w:val="00FE40FD"/>
    <w:rsid w:val="00FE5D9C"/>
    <w:rsid w:val="00FE7171"/>
    <w:rsid w:val="00FF0292"/>
    <w:rsid w:val="00FF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5A55"/>
  <w15:docId w15:val="{5D9902F9-DBB6-4CB7-ABEA-52FA1816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9C"/>
    <w:pPr>
      <w:ind w:left="720"/>
      <w:contextualSpacing/>
    </w:pPr>
  </w:style>
  <w:style w:type="paragraph" w:customStyle="1" w:styleId="EBRD-Titololotto">
    <w:name w:val="EBRD-Titolo lotto"/>
    <w:basedOn w:val="Normal"/>
    <w:uiPriority w:val="99"/>
    <w:rsid w:val="00075B48"/>
    <w:pPr>
      <w:widowControl w:val="0"/>
      <w:tabs>
        <w:tab w:val="left" w:pos="3600"/>
        <w:tab w:val="left" w:pos="4320"/>
        <w:tab w:val="left" w:pos="5040"/>
        <w:tab w:val="left" w:pos="7470"/>
      </w:tabs>
      <w:spacing w:after="0" w:line="240" w:lineRule="auto"/>
      <w:jc w:val="center"/>
    </w:pPr>
    <w:rPr>
      <w:rFonts w:ascii="CG Times" w:eastAsia="Times New Roman" w:hAnsi="CG Times"/>
      <w:b/>
      <w:caps/>
      <w:sz w:val="24"/>
      <w:szCs w:val="20"/>
      <w:lang w:val="en-GB" w:eastAsia="it-IT"/>
    </w:rPr>
  </w:style>
  <w:style w:type="paragraph" w:customStyle="1" w:styleId="Default">
    <w:name w:val="Default"/>
    <w:rsid w:val="00FD49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BA" w:eastAsia="en-US"/>
    </w:rPr>
  </w:style>
  <w:style w:type="paragraph" w:styleId="Header">
    <w:name w:val="header"/>
    <w:basedOn w:val="Normal"/>
    <w:link w:val="HeaderChar"/>
    <w:uiPriority w:val="99"/>
    <w:unhideWhenUsed/>
    <w:rsid w:val="002E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A4"/>
  </w:style>
  <w:style w:type="paragraph" w:styleId="Footer">
    <w:name w:val="footer"/>
    <w:basedOn w:val="Normal"/>
    <w:link w:val="FooterChar"/>
    <w:uiPriority w:val="99"/>
    <w:unhideWhenUsed/>
    <w:rsid w:val="002E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A4"/>
  </w:style>
  <w:style w:type="paragraph" w:styleId="BalloonText">
    <w:name w:val="Balloon Text"/>
    <w:basedOn w:val="Normal"/>
    <w:link w:val="BalloonTextChar"/>
    <w:uiPriority w:val="99"/>
    <w:semiHidden/>
    <w:unhideWhenUsed/>
    <w:rsid w:val="004B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9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2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BC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balansnoj odgovornosti</vt:lpstr>
    </vt:vector>
  </TitlesOfParts>
  <Company>NOSBiH</Company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balansnoj odgovornosti</dc:title>
  <dc:subject/>
  <dc:creator>NOSBiH</dc:creator>
  <cp:keywords/>
  <cp:lastModifiedBy>Vladimir Vukadinović</cp:lastModifiedBy>
  <cp:revision>2</cp:revision>
  <cp:lastPrinted>2025-11-26T07:21:00Z</cp:lastPrinted>
  <dcterms:created xsi:type="dcterms:W3CDTF">2026-04-28T10:58:00Z</dcterms:created>
  <dcterms:modified xsi:type="dcterms:W3CDTF">2026-04-28T10:58:00Z</dcterms:modified>
</cp:coreProperties>
</file>